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D0ECB" w14:textId="48243D2F" w:rsidR="00F12C76" w:rsidRDefault="00321F9F" w:rsidP="006C0B77">
      <w:pPr>
        <w:spacing w:after="0"/>
        <w:ind w:firstLine="709"/>
        <w:jc w:val="both"/>
        <w:rPr>
          <w:rFonts w:ascii="Arial" w:hAnsi="Arial" w:cs="Arial"/>
          <w:b/>
          <w:bCs/>
          <w:color w:val="333333"/>
          <w:sz w:val="36"/>
          <w:szCs w:val="36"/>
          <w:shd w:val="clear" w:color="auto" w:fill="FFFFFF"/>
        </w:rPr>
      </w:pPr>
      <w:bookmarkStart w:id="0" w:name="_GoBack"/>
      <w:bookmarkEnd w:id="0"/>
      <w:r>
        <w:rPr>
          <w:rFonts w:ascii="Arial" w:hAnsi="Arial" w:cs="Arial"/>
          <w:b/>
          <w:bCs/>
          <w:color w:val="333333"/>
          <w:sz w:val="36"/>
          <w:szCs w:val="36"/>
          <w:shd w:val="clear" w:color="auto" w:fill="FFFFFF"/>
        </w:rPr>
        <w:t>Что понимается под судебными расходами?</w:t>
      </w:r>
    </w:p>
    <w:p w14:paraId="017358A2" w14:textId="77777777" w:rsidR="00321F9F" w:rsidRPr="00321F9F" w:rsidRDefault="00321F9F" w:rsidP="00321F9F">
      <w:pPr>
        <w:spacing w:after="120"/>
        <w:rPr>
          <w:rFonts w:eastAsia="Times New Roman" w:cs="Times New Roman"/>
          <w:sz w:val="24"/>
          <w:szCs w:val="24"/>
          <w:lang w:eastAsia="ru-RU"/>
        </w:rPr>
      </w:pPr>
      <w:r w:rsidRPr="00321F9F">
        <w:rPr>
          <w:rFonts w:eastAsia="Times New Roman" w:cs="Times New Roman"/>
          <w:color w:val="FFFFFF"/>
          <w:sz w:val="20"/>
          <w:szCs w:val="20"/>
          <w:shd w:val="clear" w:color="auto" w:fill="1E3685"/>
          <w:lang w:eastAsia="ru-RU"/>
        </w:rPr>
        <w:br/>
        <w:t>Поделиться</w:t>
      </w:r>
    </w:p>
    <w:p w14:paraId="411BE404" w14:textId="77777777" w:rsidR="00321F9F" w:rsidRPr="00321F9F" w:rsidRDefault="00321F9F" w:rsidP="00321F9F">
      <w:pPr>
        <w:shd w:val="clear" w:color="auto" w:fill="FFFFFF"/>
        <w:spacing w:after="100" w:afterAutospacing="1"/>
        <w:jc w:val="center"/>
        <w:rPr>
          <w:rFonts w:ascii="Roboto" w:eastAsia="Times New Roman" w:hAnsi="Roboto" w:cs="Times New Roman"/>
          <w:color w:val="333333"/>
          <w:sz w:val="24"/>
          <w:szCs w:val="24"/>
          <w:lang w:eastAsia="ru-RU"/>
        </w:rPr>
      </w:pPr>
      <w:r w:rsidRPr="00321F9F">
        <w:rPr>
          <w:rFonts w:ascii="Roboto" w:eastAsia="Times New Roman" w:hAnsi="Roboto" w:cs="Times New Roman"/>
          <w:color w:val="333333"/>
          <w:sz w:val="24"/>
          <w:szCs w:val="24"/>
          <w:lang w:eastAsia="ru-RU"/>
        </w:rPr>
        <w:t> </w:t>
      </w:r>
    </w:p>
    <w:p w14:paraId="66074AE3" w14:textId="77777777" w:rsidR="00321F9F" w:rsidRPr="00321F9F" w:rsidRDefault="00321F9F" w:rsidP="00321F9F">
      <w:pPr>
        <w:shd w:val="clear" w:color="auto" w:fill="FFFFFF"/>
        <w:spacing w:after="100" w:afterAutospacing="1"/>
        <w:jc w:val="center"/>
        <w:rPr>
          <w:rFonts w:ascii="Roboto" w:eastAsia="Times New Roman" w:hAnsi="Roboto" w:cs="Times New Roman"/>
          <w:color w:val="333333"/>
          <w:sz w:val="24"/>
          <w:szCs w:val="24"/>
          <w:lang w:eastAsia="ru-RU"/>
        </w:rPr>
      </w:pPr>
      <w:r w:rsidRPr="00321F9F">
        <w:rPr>
          <w:rFonts w:ascii="Roboto" w:eastAsia="Times New Roman" w:hAnsi="Roboto" w:cs="Times New Roman"/>
          <w:color w:val="333333"/>
          <w:sz w:val="24"/>
          <w:szCs w:val="24"/>
          <w:lang w:eastAsia="ru-RU"/>
        </w:rPr>
        <w:t> </w:t>
      </w:r>
    </w:p>
    <w:p w14:paraId="40D0DF2D" w14:textId="77777777" w:rsidR="00321F9F" w:rsidRPr="00321F9F" w:rsidRDefault="00321F9F" w:rsidP="00321F9F">
      <w:pPr>
        <w:shd w:val="clear" w:color="auto" w:fill="FFFFFF"/>
        <w:spacing w:after="100" w:afterAutospacing="1"/>
        <w:jc w:val="both"/>
        <w:rPr>
          <w:rFonts w:ascii="Roboto" w:eastAsia="Times New Roman" w:hAnsi="Roboto" w:cs="Times New Roman"/>
          <w:color w:val="333333"/>
          <w:sz w:val="24"/>
          <w:szCs w:val="24"/>
          <w:lang w:eastAsia="ru-RU"/>
        </w:rPr>
      </w:pPr>
      <w:r w:rsidRPr="00321F9F">
        <w:rPr>
          <w:rFonts w:eastAsia="Times New Roman" w:cs="Times New Roman"/>
          <w:color w:val="333333"/>
          <w:sz w:val="33"/>
          <w:szCs w:val="33"/>
          <w:lang w:eastAsia="ru-RU"/>
        </w:rPr>
        <w:t>Судебные расходы, состоящие из государственной пошлины, а также издержек, связанных с рассмотрением дела (далее - судебные издержки), представляют собой денежные затраты (потери), распределяемые в порядке, предусмотренном главой 7 Гражданского процессуального кодекса Российской Федерации (далее - ГПК РФ), главой 10 Кодекса административного судопроизводства Российской Федерации (далее - КАС РФ), главой 9 Арбитражного процессуального кодекса Российской Федерации (далее - АПК РФ).</w:t>
      </w:r>
    </w:p>
    <w:p w14:paraId="280E8CBA" w14:textId="77777777" w:rsidR="00321F9F" w:rsidRPr="00321F9F" w:rsidRDefault="00321F9F" w:rsidP="00321F9F">
      <w:pPr>
        <w:shd w:val="clear" w:color="auto" w:fill="FFFFFF"/>
        <w:spacing w:after="100" w:afterAutospacing="1"/>
        <w:jc w:val="both"/>
        <w:rPr>
          <w:rFonts w:ascii="Roboto" w:eastAsia="Times New Roman" w:hAnsi="Roboto" w:cs="Times New Roman"/>
          <w:color w:val="333333"/>
          <w:sz w:val="24"/>
          <w:szCs w:val="24"/>
          <w:lang w:eastAsia="ru-RU"/>
        </w:rPr>
      </w:pPr>
      <w:r w:rsidRPr="00321F9F">
        <w:rPr>
          <w:rFonts w:eastAsia="Times New Roman" w:cs="Times New Roman"/>
          <w:color w:val="333333"/>
          <w:sz w:val="33"/>
          <w:szCs w:val="33"/>
          <w:lang w:eastAsia="ru-RU"/>
        </w:rPr>
        <w:t>По смыслу названных законоположений, принципом распределения судебных расходов выступает возмещение судебных расходов лицу, которое их понесло, за счет лица, не в пользу которого принят итоговый судебный акт по делу (например, решение суда первой инстанции, определение о прекращении производства по делу или об оставлении заявления без рассмотрения, судебный акт суда апелляционной, кассационной, надзорной инстанции, которым завершено производство по делу на соответствующей стадии процесса).</w:t>
      </w:r>
    </w:p>
    <w:p w14:paraId="51398B12" w14:textId="77777777" w:rsidR="00321F9F" w:rsidRPr="00321F9F" w:rsidRDefault="00321F9F" w:rsidP="00321F9F">
      <w:pPr>
        <w:shd w:val="clear" w:color="auto" w:fill="FFFFFF"/>
        <w:spacing w:after="100" w:afterAutospacing="1"/>
        <w:jc w:val="both"/>
        <w:rPr>
          <w:rFonts w:ascii="Roboto" w:eastAsia="Times New Roman" w:hAnsi="Roboto" w:cs="Times New Roman"/>
          <w:color w:val="333333"/>
          <w:sz w:val="24"/>
          <w:szCs w:val="24"/>
          <w:lang w:eastAsia="ru-RU"/>
        </w:rPr>
      </w:pPr>
      <w:r w:rsidRPr="00321F9F">
        <w:rPr>
          <w:rFonts w:eastAsia="Times New Roman" w:cs="Times New Roman"/>
          <w:color w:val="333333"/>
          <w:sz w:val="33"/>
          <w:szCs w:val="33"/>
          <w:lang w:eastAsia="ru-RU"/>
        </w:rPr>
        <w:t>К судебным издержкам относятся расходы, которые понесены лицами, участвующими в деле, включая третьих лиц, заинтересованных лиц в административном деле (статья 94 ГПК РФ, статья 106 АПК РФ, статья 106 КАС РФ).</w:t>
      </w:r>
    </w:p>
    <w:p w14:paraId="279900AA" w14:textId="77777777" w:rsidR="00321F9F" w:rsidRPr="00321F9F" w:rsidRDefault="00321F9F" w:rsidP="00321F9F">
      <w:pPr>
        <w:shd w:val="clear" w:color="auto" w:fill="FFFFFF"/>
        <w:spacing w:after="100" w:afterAutospacing="1"/>
        <w:jc w:val="both"/>
        <w:rPr>
          <w:rFonts w:ascii="Roboto" w:eastAsia="Times New Roman" w:hAnsi="Roboto" w:cs="Times New Roman"/>
          <w:color w:val="333333"/>
          <w:sz w:val="24"/>
          <w:szCs w:val="24"/>
          <w:lang w:eastAsia="ru-RU"/>
        </w:rPr>
      </w:pPr>
      <w:r w:rsidRPr="00321F9F">
        <w:rPr>
          <w:rFonts w:eastAsia="Times New Roman" w:cs="Times New Roman"/>
          <w:color w:val="333333"/>
          <w:sz w:val="33"/>
          <w:szCs w:val="33"/>
          <w:lang w:eastAsia="ru-RU"/>
        </w:rPr>
        <w:t xml:space="preserve">Перечень судебных издержек, предусмотренный указанными кодексами, не является исчерпывающим. Так, расходы, понесенные истцом, административным истцом, заявителем (далее также - истцы) в связи с собиранием доказательств до предъявления искового заявления, административного искового заявления, заявления (далее также - иски) в суд, могут быть признаны судебными издержками, если несение таких расходов было необходимо для реализации права на обращение в суд и </w:t>
      </w:r>
      <w:r w:rsidRPr="00321F9F">
        <w:rPr>
          <w:rFonts w:eastAsia="Times New Roman" w:cs="Times New Roman"/>
          <w:color w:val="333333"/>
          <w:sz w:val="33"/>
          <w:szCs w:val="33"/>
          <w:lang w:eastAsia="ru-RU"/>
        </w:rPr>
        <w:lastRenderedPageBreak/>
        <w:t>собранные до предъявления иска доказательства соответствуют требованиям относимости, допустимости. Например, истцу могут быть возмещены расходы, связанные с легализацией иностранных официальных документов, обеспечением нотариусом до возбуждения дела в суде судебных доказательств (в частности, доказательств, подтверждающих размещение определенной информации в сети "Интернет"), расходы на проведение досудебного исследования состояния имущества, на основании которого впоследствии определена цена предъявленного в суд иска, его подсудность.</w:t>
      </w:r>
    </w:p>
    <w:p w14:paraId="33BB4C68" w14:textId="77777777" w:rsidR="00321F9F" w:rsidRPr="00321F9F" w:rsidRDefault="00321F9F" w:rsidP="00321F9F">
      <w:pPr>
        <w:shd w:val="clear" w:color="auto" w:fill="FFFFFF"/>
        <w:spacing w:after="100" w:afterAutospacing="1"/>
        <w:jc w:val="both"/>
        <w:rPr>
          <w:rFonts w:ascii="Roboto" w:eastAsia="Times New Roman" w:hAnsi="Roboto" w:cs="Times New Roman"/>
          <w:color w:val="333333"/>
          <w:sz w:val="24"/>
          <w:szCs w:val="24"/>
          <w:lang w:eastAsia="ru-RU"/>
        </w:rPr>
      </w:pPr>
      <w:r w:rsidRPr="00321F9F">
        <w:rPr>
          <w:rFonts w:eastAsia="Times New Roman" w:cs="Times New Roman"/>
          <w:color w:val="333333"/>
          <w:sz w:val="33"/>
          <w:szCs w:val="33"/>
          <w:lang w:eastAsia="ru-RU"/>
        </w:rPr>
        <w:t>Расходы на оформление доверенности представителя также могут быть признаны судебными издержками, если такая доверенность выдана для участия представителя в конкретном деле или конкретном судебном заседании по делу.</w:t>
      </w:r>
    </w:p>
    <w:p w14:paraId="336EF2AC" w14:textId="77777777" w:rsidR="00321F9F" w:rsidRPr="00321F9F" w:rsidRDefault="00321F9F" w:rsidP="00321F9F">
      <w:pPr>
        <w:shd w:val="clear" w:color="auto" w:fill="FFFFFF"/>
        <w:spacing w:after="100" w:afterAutospacing="1"/>
        <w:jc w:val="both"/>
        <w:rPr>
          <w:rFonts w:ascii="Roboto" w:eastAsia="Times New Roman" w:hAnsi="Roboto" w:cs="Times New Roman"/>
          <w:color w:val="333333"/>
          <w:sz w:val="24"/>
          <w:szCs w:val="24"/>
          <w:lang w:eastAsia="ru-RU"/>
        </w:rPr>
      </w:pPr>
      <w:r w:rsidRPr="00321F9F">
        <w:rPr>
          <w:rFonts w:eastAsia="Times New Roman" w:cs="Times New Roman"/>
          <w:color w:val="333333"/>
          <w:sz w:val="33"/>
          <w:szCs w:val="33"/>
          <w:lang w:eastAsia="ru-RU"/>
        </w:rPr>
        <w:t>Расходы, обусловленные рассмотрением, разрешением и урегулированием спора во внесудебном порядке (обжалование в порядке подчиненности, процедура медиации), не являются судебными издержками и не возмещаются согласно нормам главы 7 ГПК РФ, главы 10 КАС РФ, главы 9 АПК РФ.</w:t>
      </w:r>
    </w:p>
    <w:p w14:paraId="42606F80" w14:textId="77777777" w:rsidR="00321F9F" w:rsidRPr="00321F9F" w:rsidRDefault="00321F9F" w:rsidP="00321F9F">
      <w:pPr>
        <w:shd w:val="clear" w:color="auto" w:fill="FFFFFF"/>
        <w:spacing w:after="100" w:afterAutospacing="1"/>
        <w:jc w:val="both"/>
        <w:rPr>
          <w:rFonts w:ascii="Roboto" w:eastAsia="Times New Roman" w:hAnsi="Roboto" w:cs="Times New Roman"/>
          <w:color w:val="333333"/>
          <w:sz w:val="24"/>
          <w:szCs w:val="24"/>
          <w:lang w:eastAsia="ru-RU"/>
        </w:rPr>
      </w:pPr>
      <w:r w:rsidRPr="00321F9F">
        <w:rPr>
          <w:rFonts w:eastAsia="Times New Roman" w:cs="Times New Roman"/>
          <w:color w:val="333333"/>
          <w:sz w:val="33"/>
          <w:szCs w:val="33"/>
          <w:lang w:eastAsia="ru-RU"/>
        </w:rPr>
        <w:t>В случаях, когда законом либо договором предусмотрен претензионный или иной обязательный досудебный порядок урегулирования спора, расходы, вызванные соблюдением такого порядка (например, издержки на направление претензии контрагенту, на подготовку отчета об оценке недвижимости при оспаривании результатов определения кадастровой стоимости объекта недвижимости юридическим лицом, на обжалование в вышестоящий налоговый орган актов налоговых органов ненормативного характера, действий или бездействия их должностных лиц), в том числе расходы по оплате юридических услуг, признаются судебными издержками и подлежат возмещению исходя из того, что у истца отсутствовала возможность реализовать право на обращение в суд без несения таких издержек (статьи 94, 135 ГПК РФ, статьи 106, 129 КАС РФ, статьи 106, 148 АПК РФ).</w:t>
      </w:r>
    </w:p>
    <w:p w14:paraId="41A94733" w14:textId="77777777" w:rsidR="00321F9F" w:rsidRDefault="00321F9F" w:rsidP="006C0B77">
      <w:pPr>
        <w:spacing w:after="0"/>
        <w:ind w:firstLine="709"/>
        <w:jc w:val="both"/>
      </w:pPr>
    </w:p>
    <w:sectPr w:rsidR="00321F9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0F"/>
    <w:rsid w:val="002124D7"/>
    <w:rsid w:val="0025730A"/>
    <w:rsid w:val="00321F9F"/>
    <w:rsid w:val="006C0B77"/>
    <w:rsid w:val="008242FF"/>
    <w:rsid w:val="00870751"/>
    <w:rsid w:val="00922C48"/>
    <w:rsid w:val="00B915B7"/>
    <w:rsid w:val="00DC010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1927"/>
  <w15:chartTrackingRefBased/>
  <w15:docId w15:val="{AAC66803-8B97-470B-AC37-437BEB0E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tooltip">
    <w:name w:val="feeds-page__navigation_tooltip"/>
    <w:basedOn w:val="a0"/>
    <w:rsid w:val="00321F9F"/>
  </w:style>
  <w:style w:type="paragraph" w:styleId="a3">
    <w:name w:val="Normal (Web)"/>
    <w:basedOn w:val="a"/>
    <w:uiPriority w:val="99"/>
    <w:semiHidden/>
    <w:unhideWhenUsed/>
    <w:rsid w:val="00321F9F"/>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451077">
      <w:bodyDiv w:val="1"/>
      <w:marLeft w:val="0"/>
      <w:marRight w:val="0"/>
      <w:marTop w:val="0"/>
      <w:marBottom w:val="0"/>
      <w:divBdr>
        <w:top w:val="none" w:sz="0" w:space="0" w:color="auto"/>
        <w:left w:val="none" w:sz="0" w:space="0" w:color="auto"/>
        <w:bottom w:val="none" w:sz="0" w:space="0" w:color="auto"/>
        <w:right w:val="none" w:sz="0" w:space="0" w:color="auto"/>
      </w:divBdr>
      <w:divsChild>
        <w:div w:id="1202130278">
          <w:marLeft w:val="0"/>
          <w:marRight w:val="720"/>
          <w:marTop w:val="0"/>
          <w:marBottom w:val="0"/>
          <w:divBdr>
            <w:top w:val="none" w:sz="0" w:space="0" w:color="auto"/>
            <w:left w:val="none" w:sz="0" w:space="0" w:color="auto"/>
            <w:bottom w:val="none" w:sz="0" w:space="0" w:color="auto"/>
            <w:right w:val="none" w:sz="0" w:space="0" w:color="auto"/>
          </w:divBdr>
          <w:divsChild>
            <w:div w:id="636688457">
              <w:marLeft w:val="0"/>
              <w:marRight w:val="0"/>
              <w:marTop w:val="0"/>
              <w:marBottom w:val="120"/>
              <w:divBdr>
                <w:top w:val="none" w:sz="0" w:space="0" w:color="auto"/>
                <w:left w:val="none" w:sz="0" w:space="0" w:color="auto"/>
                <w:bottom w:val="none" w:sz="0" w:space="0" w:color="auto"/>
                <w:right w:val="none" w:sz="0" w:space="0" w:color="auto"/>
              </w:divBdr>
            </w:div>
          </w:divsChild>
        </w:div>
        <w:div w:id="1445534153">
          <w:marLeft w:val="0"/>
          <w:marRight w:val="0"/>
          <w:marTop w:val="0"/>
          <w:marBottom w:val="0"/>
          <w:divBdr>
            <w:top w:val="none" w:sz="0" w:space="0" w:color="auto"/>
            <w:left w:val="none" w:sz="0" w:space="0" w:color="auto"/>
            <w:bottom w:val="none" w:sz="0" w:space="0" w:color="auto"/>
            <w:right w:val="none" w:sz="0" w:space="0" w:color="auto"/>
          </w:divBdr>
          <w:divsChild>
            <w:div w:id="2324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2024-06-25T19:05:00Z</dcterms:created>
  <dcterms:modified xsi:type="dcterms:W3CDTF">2024-06-25T19:05:00Z</dcterms:modified>
</cp:coreProperties>
</file>