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6701B" w14:textId="64EC9FF7" w:rsidR="00F12C76" w:rsidRDefault="001F5904" w:rsidP="006C0B77">
      <w:pPr>
        <w:spacing w:after="0"/>
        <w:ind w:firstLine="709"/>
        <w:jc w:val="both"/>
        <w:rPr>
          <w:rFonts w:ascii="Arial" w:hAnsi="Arial" w:cs="Arial"/>
          <w:b/>
          <w:bCs/>
          <w:color w:val="333333"/>
          <w:sz w:val="36"/>
          <w:szCs w:val="36"/>
          <w:shd w:val="clear" w:color="auto" w:fill="FFFFFF"/>
        </w:rPr>
      </w:pPr>
      <w:bookmarkStart w:id="0" w:name="_GoBack"/>
      <w:bookmarkEnd w:id="0"/>
      <w:r>
        <w:rPr>
          <w:rFonts w:ascii="Arial" w:hAnsi="Arial" w:cs="Arial"/>
          <w:b/>
          <w:bCs/>
          <w:color w:val="333333"/>
          <w:sz w:val="36"/>
          <w:szCs w:val="36"/>
          <w:shd w:val="clear" w:color="auto" w:fill="FFFFFF"/>
        </w:rPr>
        <w:t>Правила использования пиротехники</w:t>
      </w:r>
    </w:p>
    <w:p w14:paraId="196D8CE5"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В результате игры с петардами, хлопушками и фейерверками дети по причине несоблюдения правил безопасности и безответственности взрослых причиняют телесные повреждения (ожоги лица, рук и т.п.) как себе, так и окружающим. Неисполнение требований к эксплуатации такой продукции может стать причиной пожара. Пиротехнические изделия бывают пожароопасными и взрывоопасными, бытового и технического назначения и предназначены для получения эффекта с помощью горения (взрыва) его пиротехнического состава.</w:t>
      </w:r>
    </w:p>
    <w:p w14:paraId="1AC2DB6D"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Порядок применения пиротехнических изделий закреплен в Правилах противопожарного режима в Российской Федерации, которые утверждены постановлением Правительства Российской Федерации от 16.09.2020 № 1479. Так, реализация (продажа) пиротехнических изделий ЗАПРЕЩАЕТСЯ:</w:t>
      </w:r>
    </w:p>
    <w:p w14:paraId="40689AD9"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14:paraId="08093DCB"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 лицам, не достигшим 16-летнего возраста (если производителем не установлено другое возрастное ограничение);</w:t>
      </w:r>
    </w:p>
    <w:p w14:paraId="659448BF"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 - вне заводской потребительской упаковки.</w:t>
      </w:r>
    </w:p>
    <w:p w14:paraId="04B7A37A"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Применение пиротехнических изделий ЗАПРЕЩАЕТСЯ:</w:t>
      </w:r>
    </w:p>
    <w:p w14:paraId="14073BDE"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 </w:t>
      </w:r>
    </w:p>
    <w:p w14:paraId="74905E21"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617817D0"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 во время проведения митингов, демонстраций, шествий и пикетирования;</w:t>
      </w:r>
    </w:p>
    <w:p w14:paraId="57368245"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613066A2"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 - при погодных условиях, не позволяющих обеспечить безопасность при их использовании;</w:t>
      </w:r>
    </w:p>
    <w:p w14:paraId="18DE3F54"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lastRenderedPageBreak/>
        <w:t>- лицам, не преодолевшим возрастного ограничения, установленного производителем пиротехнического изделия.</w:t>
      </w:r>
    </w:p>
    <w:p w14:paraId="21303144" w14:textId="77777777" w:rsidR="001F5904" w:rsidRDefault="001F5904" w:rsidP="001F5904">
      <w:pPr>
        <w:pStyle w:val="a3"/>
        <w:shd w:val="clear" w:color="auto" w:fill="FFFFFF"/>
        <w:spacing w:before="0" w:beforeAutospacing="0"/>
        <w:rPr>
          <w:rFonts w:ascii="Roboto" w:hAnsi="Roboto"/>
          <w:color w:val="333333"/>
        </w:rPr>
      </w:pPr>
      <w:r>
        <w:rPr>
          <w:rFonts w:ascii="Roboto" w:hAnsi="Roboto"/>
          <w:color w:val="333333"/>
        </w:rPr>
        <w:t>За нарушение правил запуска и эксплуатации фейерверков, законодателем предусмотрены различные виды ответственности, вплоть до уголовной. За использование пиротехники в общественных местах предусмотрена административная ответственность по статье 20.1 КоАП РФ. В случае совершения данного правонарушения подростком младше 14 лет к административной ответственности привлекут родителей. В соответствии со ст. 20.4. КоАП РФ за нарушение правил пожарной безопасности предусмотрена административная ответственность для граждан в виде предупреждения или административного штрафа в размере от пяти тысяч до пятнадцати тысяч рублей; в случае возникновения пожара и уничтожения или повреждения чужого имущества либо причинения легкого или средней тяжести вреда здоровью человека в виде административного штрафа в размере от сорока тысяч до пятидесяти тысяч рублей. За нарушение правил использования пиротехнических изделий, если причинен тяжкий вреда здоровью или смерть человека, виновное лицо подлежит ответственности по ст. 218 Уголовного кодекса Российской Федерации, наказание по которой предусмотрено до 5 лет лишения свободы с лишением права занимать определенные должности или заниматься определенной деятельностью на срок до 3 лет или без такового. За повреждение имущества в крупном размере путем неосторожного обращения с огнем или иным источником повышенной опасности ответственность наступает по ст. 168 Уголовного кодекса Российской Федерации в виде наказания до 1 года лишения свободы. Реализация пиротехнических изделий с нарушением установленных требований, в том числе их продажа несовершеннолетним с нарушением установленных ограничений по возрасту, влечет за собой административную ответственность по ст. 14.2 КоАП РФ.</w:t>
      </w:r>
    </w:p>
    <w:p w14:paraId="11EAF898" w14:textId="77777777" w:rsidR="001F5904" w:rsidRDefault="001F5904" w:rsidP="006C0B77">
      <w:pPr>
        <w:spacing w:after="0"/>
        <w:ind w:firstLine="709"/>
        <w:jc w:val="both"/>
      </w:pPr>
    </w:p>
    <w:sectPr w:rsidR="001F590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19"/>
    <w:rsid w:val="00070719"/>
    <w:rsid w:val="001F5904"/>
    <w:rsid w:val="002124D7"/>
    <w:rsid w:val="006C0B77"/>
    <w:rsid w:val="0073529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AD88"/>
  <w15:chartTrackingRefBased/>
  <w15:docId w15:val="{EE1F7001-F36E-4533-97AA-3A161372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904"/>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1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2024-06-25T19:08:00Z</dcterms:created>
  <dcterms:modified xsi:type="dcterms:W3CDTF">2024-06-25T19:08:00Z</dcterms:modified>
</cp:coreProperties>
</file>