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6095" w14:textId="370A8E70" w:rsidR="00110189" w:rsidRPr="00110189" w:rsidRDefault="00110189" w:rsidP="00110189">
      <w:pPr>
        <w:spacing w:after="0"/>
        <w:ind w:firstLine="709"/>
        <w:jc w:val="both"/>
      </w:pPr>
      <w:r w:rsidRPr="00110189">
        <w:rPr>
          <w:b/>
          <w:bCs/>
        </w:rPr>
        <w:t xml:space="preserve">Ужесточена административная ответственность за отдельные нарушения законодательства о рекламе </w:t>
      </w:r>
    </w:p>
    <w:p w14:paraId="3E261829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С 17.04.2024 ужесточена административная ответственность за отдельные нарушения законодательства о рекламе. Данные изменения внесены Федеральным закон от 06.04.2024 № 78-ФЗ «О внесении изменений в статьи 3.5 и 14.3 Кодекса Российской Федерации об административных правонарушениях».</w:t>
      </w:r>
    </w:p>
    <w:p w14:paraId="5679A32D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Так, ст. 14.3 КоАП РФ дополнена частью 4.1 которая утверждает размеры штрафов за нарушение установленных требований к рекламе распространяемой по сетям электросвязи, а именно за спам-звонки и не одобренные абонентом послания по электронной почте.</w:t>
      </w:r>
    </w:p>
    <w:p w14:paraId="1375DDBA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Ранее данные нарушения попадали под общий состав нарушений законодательства о рекламе, штрафы за них составляли:</w:t>
      </w:r>
    </w:p>
    <w:p w14:paraId="2BC7DD06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граждан - от 2 000 до 2 500 рублей;</w:t>
      </w:r>
    </w:p>
    <w:p w14:paraId="2D76E85A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должностных лиц - от 4 000 до 20 000 рублей;</w:t>
      </w:r>
    </w:p>
    <w:p w14:paraId="45BC8EE0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юридических лиц - от 100 000 до 500 000 рублей.</w:t>
      </w:r>
    </w:p>
    <w:p w14:paraId="6DC1FA78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С 17.04.2024 штрафы за данные нарушения составляют:</w:t>
      </w:r>
    </w:p>
    <w:p w14:paraId="45B2B84B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граждан - от 10 000 до 20 000 рублей;</w:t>
      </w:r>
    </w:p>
    <w:p w14:paraId="7454E1E5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должностных лиц - от 20 000 до 100 000 рублей;</w:t>
      </w:r>
    </w:p>
    <w:p w14:paraId="776B076C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юридических лиц - от 300 000 до 1 000 000 рублей.</w:t>
      </w:r>
    </w:p>
    <w:p w14:paraId="6008B68A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 xml:space="preserve">Изменения в части 6 ст. 14.3 КоАП РФ конкретизируют требования </w:t>
      </w:r>
      <w:proofErr w:type="gramStart"/>
      <w:r w:rsidRPr="00110189">
        <w:t>несоблюдение</w:t>
      </w:r>
      <w:proofErr w:type="gramEnd"/>
      <w:r w:rsidRPr="00110189">
        <w:t xml:space="preserve"> которых ведет к ответственности за недобросовестную рекламу кредитов и займов. Так, реклама должна содержать диапазоны значений полной стоимости потребительского кредита (займа) (все расходы и взносы, которые потребитель заплатит банку или иной организации по договору), которые предоставляются до указания информации о процентных ставках и указываются одинаковым или более крупным шрифтом по сравнению с информацией о процентных ставках.</w:t>
      </w:r>
    </w:p>
    <w:p w14:paraId="494FB329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Субъектом данного правонарушения помимо кредитных организаций становятся также микрофинансовые организации, а размеры штрафов увеличиваются в 2 раза:</w:t>
      </w:r>
    </w:p>
    <w:p w14:paraId="1198FC5F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на должностных лиц: ранее – от 20 000 до 50 000 рублей, с 17.04.2024 - от 40 000 до 100 000 рублей;</w:t>
      </w:r>
    </w:p>
    <w:p w14:paraId="35167F23" w14:textId="77777777" w:rsidR="00110189" w:rsidRPr="00110189" w:rsidRDefault="00110189" w:rsidP="00110189">
      <w:pPr>
        <w:spacing w:after="0"/>
        <w:ind w:firstLine="709"/>
        <w:jc w:val="both"/>
      </w:pPr>
      <w:r w:rsidRPr="00110189">
        <w:t>для юридических лиц: ранее – от 300 000 до 800 000 рублей, с 17.04.2024 - от 600 000 до 1 600 000 рублей.</w:t>
      </w:r>
    </w:p>
    <w:p w14:paraId="58D5B99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61"/>
    <w:rsid w:val="00110189"/>
    <w:rsid w:val="002124D7"/>
    <w:rsid w:val="003C2961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4C7"/>
  <w15:chartTrackingRefBased/>
  <w15:docId w15:val="{7817E0C3-202F-4A13-8AA3-06C3F56B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4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8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2024-08-26T10:39:00Z</dcterms:created>
  <dcterms:modified xsi:type="dcterms:W3CDTF">2024-08-26T10:40:00Z</dcterms:modified>
</cp:coreProperties>
</file>