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DAEC" w14:textId="37AD90D7" w:rsidR="00CD0EAF" w:rsidRDefault="00CD0EAF" w:rsidP="00CD0EA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Уточнены условия получения и использования материнского капитала</w:t>
      </w:r>
    </w:p>
    <w:p w14:paraId="425E84B2" w14:textId="37BFEAB4" w:rsidR="00CD0EAF" w:rsidRDefault="00CD0EAF" w:rsidP="00CD0EA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 1 января 2024 года изменены нормы законодательства о получении материнского капитала.</w:t>
      </w:r>
    </w:p>
    <w:p w14:paraId="3F1577BB" w14:textId="77777777" w:rsidR="00CD0EAF" w:rsidRDefault="00CD0EAF" w:rsidP="00CD0EA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Теперь материнский капитал выплачивается только лицам, имеющим гражданство РФ на момент появления ребенка (независимо от их места жительства), и только в том случае, если ребенок является гражданином РФ по </w:t>
      </w:r>
      <w:proofErr w:type="gramStart"/>
      <w:r>
        <w:rPr>
          <w:rFonts w:ascii="Roboto" w:hAnsi="Roboto"/>
          <w:color w:val="333333"/>
        </w:rPr>
        <w:t>рождению.При</w:t>
      </w:r>
      <w:proofErr w:type="gramEnd"/>
      <w:r>
        <w:rPr>
          <w:rFonts w:ascii="Roboto" w:hAnsi="Roboto"/>
          <w:color w:val="333333"/>
        </w:rPr>
        <w:t xml:space="preserve"> возникновении права на выплату маткапитала не учитываются дети, которые не приобрели гражданство РФ по рождению.</w:t>
      </w:r>
    </w:p>
    <w:p w14:paraId="359F1D52" w14:textId="77777777" w:rsidR="00CD0EAF" w:rsidRDefault="00CD0EAF" w:rsidP="00CD0EA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Действие указанных норм не распространяется на граждан РФ, не имевших гражданства Российской Федерации и постоянно проживавших на территориях ДНР и ЛНР, Запорожской и Херсонской областей на день рождения (усыновления) ребенка (детей) по состоянию на день принятия в Российскую Федерацию указанных республик и областей, и образования в составе Российской Федерации новых субъектов.</w:t>
      </w:r>
    </w:p>
    <w:p w14:paraId="3434AB35" w14:textId="77777777" w:rsidR="00CD0EAF" w:rsidRDefault="00CD0EAF" w:rsidP="00CD0EA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Кроме того, отцы, у которых возникло право на сертификат, как и матери, могут направлять маткапитал на формирование своей накопительной пенсии.</w:t>
      </w:r>
    </w:p>
    <w:p w14:paraId="6398D09E" w14:textId="77777777" w:rsidR="00CD0EAF" w:rsidRDefault="00CD0EAF" w:rsidP="00CD0EA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Семьи могут осуществить за счет средств материнского капитала реконструкцию дома блокированной застройки, площадь которого может быть увеличена в целях улучшения жилищных условий.</w:t>
      </w:r>
    </w:p>
    <w:p w14:paraId="7888185C" w14:textId="77777777" w:rsidR="00CD0EAF" w:rsidRDefault="00CD0EAF" w:rsidP="00CD0EA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 1 февраля 2024 года размер материнского капитала проиндексирован и составляет на первого ребенка почти 631 тыс. рублей и 834 тыс. рублей - на второго.</w:t>
      </w:r>
    </w:p>
    <w:p w14:paraId="181B6EE5" w14:textId="77777777" w:rsidR="00CD0EAF" w:rsidRDefault="00CD0EAF" w:rsidP="00CD0EA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Материнский капитал можно использовать только на цели, которые определены законом. В перечень входит улучшение жилищных условий, получение образования ребенком, формирование накопительной пенсии, оплата товаров и услуг для ребенка-инвалида и получение ежемесячной выплаты на детей до 3 лет.</w:t>
      </w:r>
    </w:p>
    <w:p w14:paraId="6161A59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A0"/>
    <w:rsid w:val="001966A0"/>
    <w:rsid w:val="002124D7"/>
    <w:rsid w:val="006C0B77"/>
    <w:rsid w:val="008242FF"/>
    <w:rsid w:val="00870751"/>
    <w:rsid w:val="00922C48"/>
    <w:rsid w:val="00B915B7"/>
    <w:rsid w:val="00C9750D"/>
    <w:rsid w:val="00CD0E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0933"/>
  <w15:chartTrackingRefBased/>
  <w15:docId w15:val="{9291172A-07F8-4295-BEA0-264CF82B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E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2024-06-25T18:44:00Z</dcterms:created>
  <dcterms:modified xsi:type="dcterms:W3CDTF">2024-06-25T18:44:00Z</dcterms:modified>
</cp:coreProperties>
</file>