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7E7230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434223" w:rsidRPr="001C31D5">
        <w:rPr>
          <w:sz w:val="28"/>
          <w:szCs w:val="28"/>
        </w:rPr>
        <w:tab/>
      </w:r>
      <w:r w:rsidR="00FC48ED">
        <w:rPr>
          <w:sz w:val="28"/>
          <w:szCs w:val="28"/>
        </w:rPr>
        <w:tab/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865885" w:rsidRDefault="00865885" w:rsidP="00865885">
      <w:pPr>
        <w:pStyle w:val="ConsPlusTitle"/>
        <w:suppressAutoHyphens/>
        <w:spacing w:before="480" w:after="480"/>
        <w:jc w:val="center"/>
        <w:rPr>
          <w:bCs w:val="0"/>
        </w:rPr>
      </w:pPr>
      <w:r>
        <w:t>Об утверждении нормативных затрат на обеспечение функций администрации Нагорского района на 2023 год</w:t>
      </w:r>
    </w:p>
    <w:p w:rsidR="00865885" w:rsidRDefault="00865885" w:rsidP="00865885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правовых актов о нормиров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нии в сфере закупок для обеспечения муниципальных нужд, содержанию указанных актов и обеспечению их исполнения», </w:t>
      </w:r>
      <w:r>
        <w:rPr>
          <w:sz w:val="28"/>
          <w:szCs w:val="28"/>
        </w:rPr>
        <w:t>от 23.12.2019 № 600-П «</w:t>
      </w:r>
      <w:r w:rsidRPr="00DA4D20">
        <w:rPr>
          <w:sz w:val="28"/>
          <w:szCs w:val="28"/>
        </w:rPr>
        <w:t>Об утверждении Правил определения нормативных затрат на обеспечение фун</w:t>
      </w:r>
      <w:r w:rsidRPr="00DA4D20">
        <w:rPr>
          <w:sz w:val="28"/>
          <w:szCs w:val="28"/>
        </w:rPr>
        <w:t>к</w:t>
      </w:r>
      <w:r w:rsidRPr="00DA4D20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A4D20">
        <w:rPr>
          <w:sz w:val="28"/>
          <w:szCs w:val="28"/>
        </w:rPr>
        <w:t>о</w:t>
      </w:r>
      <w:r w:rsidRPr="00DA4D20">
        <w:rPr>
          <w:sz w:val="28"/>
          <w:szCs w:val="28"/>
        </w:rPr>
        <w:t>ответственно подведомственные им казенные учреждения)</w:t>
      </w:r>
      <w:r>
        <w:rPr>
          <w:sz w:val="28"/>
          <w:szCs w:val="28"/>
        </w:rPr>
        <w:t>»,</w:t>
      </w:r>
      <w:r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865885" w:rsidRDefault="00865885" w:rsidP="008658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нормативные затраты на обеспечение функций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Нагорского района (далее – администрация) согласно приложению.</w:t>
      </w:r>
    </w:p>
    <w:p w:rsidR="00865885" w:rsidRDefault="00865885" w:rsidP="008658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При планировании закупок для обеспечения нужд администрации на 2023 год и плановый период структурным подразделениям администрации руководствоваться настоящим постановлением.</w:t>
      </w:r>
    </w:p>
    <w:p w:rsidR="00865885" w:rsidRDefault="00865885" w:rsidP="008658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Управлению делами администрации (Хохрина В.Г.) довести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стоящее постановление до сведения работников администрации.</w:t>
      </w:r>
    </w:p>
    <w:p w:rsidR="00865885" w:rsidRDefault="00865885" w:rsidP="008658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A"/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экономике и муниципальной собственности Двоеглазову О.В.</w:t>
      </w:r>
    </w:p>
    <w:p w:rsidR="00865885" w:rsidRDefault="00865885" w:rsidP="00865885">
      <w:pPr>
        <w:spacing w:after="720" w:line="360" w:lineRule="auto"/>
        <w:ind w:firstLine="709"/>
        <w:jc w:val="both"/>
        <w:rPr>
          <w:sz w:val="28"/>
          <w:szCs w:val="28"/>
          <w:highlight w:val="red"/>
        </w:rPr>
      </w:pPr>
      <w:r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>
        <w:rPr>
          <w:rFonts w:eastAsia="A"/>
          <w:sz w:val="28"/>
          <w:szCs w:val="28"/>
        </w:rPr>
        <w:t>Постановление вступает в силу с момента подписания.</w:t>
      </w:r>
      <w:r>
        <w:rPr>
          <w:sz w:val="28"/>
          <w:szCs w:val="28"/>
        </w:rPr>
        <w:t xml:space="preserve"> и действ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 до 31.12.2023.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41A65">
        <w:rPr>
          <w:sz w:val="28"/>
          <w:szCs w:val="28"/>
        </w:rPr>
        <w:t>по экономике и</w:t>
      </w:r>
    </w:p>
    <w:p w:rsidR="00FD23C4" w:rsidRDefault="00FD23C4" w:rsidP="00E41A6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- </w:t>
      </w:r>
    </w:p>
    <w:p w:rsidR="00FD23C4" w:rsidRPr="001C31D5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бухгалтер-экономист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65885">
        <w:trPr>
          <w:trHeight w:val="1699"/>
        </w:trPr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865885">
            <w:pPr>
              <w:autoSpaceDE w:val="0"/>
              <w:autoSpaceDN w:val="0"/>
              <w:adjustRightInd w:val="0"/>
              <w:spacing w:after="36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8A5EA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B7D8C" w:rsidRPr="001C31D5" w:rsidRDefault="008A5EA5" w:rsidP="00865885">
      <w:pPr>
        <w:spacing w:line="360" w:lineRule="auto"/>
        <w:ind w:right="-232"/>
        <w:jc w:val="both"/>
        <w:rPr>
          <w:sz w:val="28"/>
          <w:szCs w:val="28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E41A65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860F6B" w:rsidRPr="001C31D5" w:rsidRDefault="0020759B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E41A65" w:rsidRDefault="00E41A65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EC11B4">
      <w:pPr>
        <w:autoSpaceDE w:val="0"/>
        <w:autoSpaceDN w:val="0"/>
        <w:adjustRightInd w:val="0"/>
        <w:spacing w:after="720"/>
        <w:ind w:left="5387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7E7230"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7E7230">
        <w:rPr>
          <w:sz w:val="28"/>
          <w:szCs w:val="28"/>
        </w:rPr>
        <w:t>_____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</w:pPr>
            <w:r w:rsidRPr="00E41A65">
              <w:t xml:space="preserve">не более </w:t>
            </w:r>
            <w:r w:rsidR="00155C2C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155C2C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5E259A" w:rsidP="00EC11B4">
      <w:pPr>
        <w:adjustRightInd w:val="0"/>
        <w:jc w:val="center"/>
        <w:rPr>
          <w:rFonts w:eastAsia="Calibri"/>
          <w:bCs/>
        </w:rPr>
      </w:pPr>
      <w:r w:rsidRPr="005E259A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155C2C" w:rsidRPr="00FF3DCF" w:rsidRDefault="00155C2C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F16C47" w:rsidP="00052FE9">
            <w:pPr>
              <w:jc w:val="center"/>
            </w:pPr>
            <w:r>
              <w:t>Обновление</w:t>
            </w:r>
            <w:r w:rsidR="006325D2" w:rsidRPr="00E41A65">
              <w:t xml:space="preserve">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F16C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16C47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56 000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47 250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4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электроэнергии в год *, 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lastRenderedPageBreak/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5E259A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5E259A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5E259A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lastRenderedPageBreak/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куб. метров 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>ного значения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lastRenderedPageBreak/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 xml:space="preserve">ентов страховых тарифов в соответствии с порядком применения страховщиками </w:t>
      </w:r>
      <w:r w:rsidR="008469AC" w:rsidRPr="00E41A65">
        <w:rPr>
          <w:rFonts w:eastAsia="Calibri"/>
          <w:b/>
          <w:bCs/>
        </w:rPr>
        <w:lastRenderedPageBreak/>
        <w:t>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E8095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E80952" w:rsidRPr="00E41A65">
              <w:rPr>
                <w:rFonts w:eastAsia="Calibri"/>
                <w:bCs/>
              </w:rPr>
              <w:t xml:space="preserve">7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5E259A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155C2C" w:rsidRPr="00326657" w:rsidRDefault="00155C2C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155C2C" w:rsidRPr="005760E9" w:rsidRDefault="00155C2C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48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35 000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E185F" w:rsidRPr="00E41A65">
              <w:t>10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тельства Российской Федерации о нотариате, </w:t>
            </w:r>
            <w:r w:rsidRPr="00E41A65">
              <w:rPr>
                <w:color w:val="000000"/>
              </w:rPr>
              <w:lastRenderedPageBreak/>
              <w:t>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Проведение работ по регулиров</w:t>
            </w:r>
            <w:r w:rsidRPr="00E41A65">
              <w:t>а</w:t>
            </w:r>
            <w:r w:rsidRPr="00E41A65">
              <w:t>нию численности и отлову безна</w:t>
            </w:r>
            <w:r w:rsidRPr="00E41A65">
              <w:t>д</w:t>
            </w:r>
            <w:r w:rsidRPr="00E41A65">
              <w:t>зорных животных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</w:tcPr>
          <w:p w:rsidR="00C622C5" w:rsidRPr="00E41A65" w:rsidRDefault="00C622C5" w:rsidP="007222E5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7222E5" w:rsidRPr="00E41A65">
              <w:t>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>щих для человека и животных в 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 xml:space="preserve">вором (сметой, </w:t>
            </w:r>
            <w:r w:rsidRPr="00E41A65">
              <w:lastRenderedPageBreak/>
              <w:t>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 xml:space="preserve">той, иным </w:t>
            </w:r>
            <w:r w:rsidRPr="00E41A65">
              <w:lastRenderedPageBreak/>
              <w:t>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Услуги по изготовлению технич</w:t>
            </w:r>
            <w:r w:rsidRPr="00E41A65">
              <w:t>е</w:t>
            </w:r>
            <w:r w:rsidRPr="00E41A65">
              <w:t>ских отчетов по обследованию объектов дорожной инфраструкт</w:t>
            </w:r>
            <w:r w:rsidRPr="00E41A65">
              <w:t>у</w:t>
            </w:r>
            <w:r w:rsidRPr="00E41A65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25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5A6697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A6697">
              <w:t>5</w:t>
            </w:r>
            <w:r w:rsidRPr="00E41A65">
              <w:t xml:space="preserve"> 000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5E259A" w:rsidRPr="005E259A">
              <w:rPr>
                <w:bCs/>
                <w:color w:val="000000"/>
              </w:rPr>
            </w:r>
            <w:r w:rsidR="005E259A" w:rsidRPr="005E259A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155C2C" w:rsidRPr="0093520F" w:rsidRDefault="00155C2C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155C2C" w:rsidRDefault="00155C2C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5E259A" w:rsidRPr="005E259A">
              <w:rPr>
                <w:bCs/>
                <w:color w:val="000000"/>
              </w:rPr>
            </w:r>
            <w:r w:rsidR="005E259A" w:rsidRPr="005E259A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155C2C" w:rsidRPr="0093520F" w:rsidRDefault="00155C2C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155C2C" w:rsidRDefault="00155C2C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1 500 000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622C5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25 000</w:t>
            </w:r>
          </w:p>
        </w:tc>
      </w:tr>
      <w:tr w:rsidR="00C622C5" w:rsidRPr="00E41A65" w:rsidTr="00C52439">
        <w:trPr>
          <w:trHeight w:val="325"/>
        </w:trPr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lastRenderedPageBreak/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lastRenderedPageBreak/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7 000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lastRenderedPageBreak/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5E259A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D0E93">
              <w:rPr>
                <w:color w:val="000000"/>
              </w:rPr>
              <w:t>1 0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5E259A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8D0E93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 xml:space="preserve">1 </w:t>
            </w:r>
            <w:r w:rsidR="008D0E93">
              <w:rPr>
                <w:color w:val="000000"/>
              </w:rPr>
              <w:t>0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пачки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6735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20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Открытки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5040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 xml:space="preserve">2 </w:t>
            </w:r>
            <w:r w:rsidR="0085040B">
              <w:rPr>
                <w:color w:val="000000"/>
              </w:rPr>
              <w:t>5</w:t>
            </w:r>
            <w:r w:rsidR="00095E15" w:rsidRPr="00E41A65">
              <w:rPr>
                <w:color w:val="000000"/>
              </w:rPr>
              <w:t>00</w:t>
            </w:r>
          </w:p>
        </w:tc>
      </w:tr>
      <w:tr w:rsidR="00ED32AC" w:rsidRPr="00E41A65" w:rsidTr="00B27707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Тактильный знак (же</w:t>
            </w:r>
            <w:r w:rsidRPr="00E41A65">
              <w:rPr>
                <w:color w:val="000000"/>
              </w:rPr>
              <w:t>л</w:t>
            </w:r>
            <w:r w:rsidRPr="00E41A65">
              <w:rPr>
                <w:color w:val="000000"/>
              </w:rPr>
              <w:t>тый круг)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</w:t>
            </w:r>
          </w:p>
        </w:tc>
      </w:tr>
      <w:tr w:rsidR="00AF736E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AF736E" w:rsidRPr="00E41A65" w:rsidRDefault="00AF736E" w:rsidP="0052011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520114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ED32AC" w:rsidRPr="00E41A65" w:rsidTr="00B2770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>не более 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9082B">
            <w:r w:rsidRPr="00E41A65">
              <w:t xml:space="preserve">не более </w:t>
            </w:r>
            <w:r w:rsidR="0009082B">
              <w:t>4</w:t>
            </w:r>
            <w:r w:rsidRPr="00E41A65">
              <w:t>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t>Валик малярный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2 500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Выключатель автоматический </w:t>
            </w:r>
            <w:r w:rsidRPr="00E41A65">
              <w:lastRenderedPageBreak/>
              <w:t>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не более 5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lastRenderedPageBreak/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lastRenderedPageBreak/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1 300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>не более 30</w:t>
            </w:r>
            <w:r w:rsidR="00C16C95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lang w:val="en-US"/>
              </w:rPr>
            </w:pPr>
            <w:r w:rsidRPr="00E41A65">
              <w:t xml:space="preserve">не более </w:t>
            </w:r>
            <w:r w:rsidR="00421876" w:rsidRPr="00E41A65">
              <w:t>5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5</w:t>
            </w:r>
            <w:r w:rsidR="0038483F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</w:t>
            </w:r>
            <w:r w:rsidR="00EF3151" w:rsidRPr="00E41A65">
              <w:t>00</w:t>
            </w:r>
          </w:p>
        </w:tc>
      </w:tr>
      <w:tr w:rsidR="00C622C5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="00EF3151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Леска</w:t>
            </w:r>
            <w:r w:rsidR="00421876" w:rsidRPr="00E41A65">
              <w:t xml:space="preserve">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Линокром</w:t>
            </w:r>
            <w:r w:rsidR="00EF3151" w:rsidRPr="00E41A65">
              <w:t xml:space="preserve">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="001602DD" w:rsidRPr="00E41A65">
              <w:t>00</w:t>
            </w:r>
            <w:r w:rsidRPr="00E41A65">
              <w:t xml:space="preserve">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2 000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21876">
            <w:r w:rsidRPr="00E41A65">
              <w:t xml:space="preserve">не более </w:t>
            </w:r>
            <w:r w:rsidR="00421876" w:rsidRPr="00E41A65">
              <w:t>40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к</w:t>
            </w:r>
            <w:r w:rsidR="00A71EBD" w:rsidRPr="00E41A65">
              <w:t>г</w:t>
            </w:r>
            <w:r w:rsidRPr="00E41A65">
              <w:t xml:space="preserve">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600</w:t>
            </w:r>
          </w:p>
        </w:tc>
      </w:tr>
      <w:tr w:rsidR="00947774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947774">
            <w:r w:rsidRPr="00E41A65"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12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400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200</w:t>
            </w:r>
          </w:p>
        </w:tc>
      </w:tr>
      <w:tr w:rsidR="00C16C9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4D6FE9">
            <w:r w:rsidRPr="00E41A65">
              <w:t>не более 3</w:t>
            </w:r>
            <w:r w:rsidR="004D6FE9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EF3151" w:rsidRPr="00E41A65">
              <w:t>2</w:t>
            </w:r>
            <w:r w:rsidRPr="00E41A65">
              <w:t>00</w:t>
            </w:r>
          </w:p>
        </w:tc>
      </w:tr>
      <w:tr w:rsidR="00B847E3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100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</w:t>
            </w:r>
            <w:r w:rsidR="0024070C"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1602DD" w:rsidRPr="00E41A65">
              <w:t xml:space="preserve">2 </w:t>
            </w:r>
            <w:r w:rsidR="0024070C" w:rsidRPr="00E41A65">
              <w:t>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10</w:t>
            </w:r>
            <w:r w:rsidR="002D11AC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lastRenderedPageBreak/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="00EF3151" w:rsidRPr="00E41A65">
              <w:t>00</w:t>
            </w:r>
          </w:p>
        </w:tc>
      </w:tr>
      <w:tr w:rsidR="00961110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24070C">
            <w:r w:rsidRPr="00E41A65">
              <w:t>не более 3</w:t>
            </w:r>
            <w:r w:rsidR="0024070C" w:rsidRPr="00E41A65">
              <w:t>50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</w:t>
            </w:r>
            <w:r w:rsidR="00C255C2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24070C">
            <w:r w:rsidRPr="00E41A65">
              <w:t xml:space="preserve">не более </w:t>
            </w:r>
            <w:r w:rsidR="0024070C" w:rsidRPr="00E41A65">
              <w:t>2 000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</w:t>
            </w:r>
            <w:r w:rsidR="00EF3151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6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</w:t>
            </w:r>
            <w:r w:rsidRPr="00E41A65">
              <w:t xml:space="preserve"> единиц</w:t>
            </w:r>
            <w:r w:rsidR="00EF3151" w:rsidRPr="00E41A65">
              <w:t xml:space="preserve"> </w:t>
            </w:r>
            <w:r w:rsidRPr="00E41A65">
              <w:t>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700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 xml:space="preserve">2 единиц </w:t>
            </w:r>
            <w:r w:rsidRPr="00E41A65">
              <w:t>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</w:t>
            </w:r>
            <w:r w:rsidR="0024070C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1 000</w:t>
            </w:r>
          </w:p>
        </w:tc>
      </w:tr>
      <w:tr w:rsidR="00C622C5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lastRenderedPageBreak/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A6251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EC11B4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24070C">
            <w:r w:rsidRPr="00E41A65">
              <w:t xml:space="preserve">не более </w:t>
            </w:r>
            <w:r w:rsidR="0024070C" w:rsidRPr="00E41A65">
              <w:t>4</w:t>
            </w:r>
            <w:r w:rsidRPr="00E41A65">
              <w:t xml:space="preserve">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4 500</w:t>
            </w:r>
          </w:p>
        </w:tc>
      </w:tr>
      <w:tr w:rsidR="00A05F36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36" w:rsidRPr="00E41A65" w:rsidRDefault="00A05F36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EC11B4">
            <w:r w:rsidRPr="00E41A65">
              <w:t>не более 500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 xml:space="preserve">Респиратор </w:t>
            </w:r>
          </w:p>
          <w:p w:rsidR="00C622C5" w:rsidRPr="00E41A65" w:rsidRDefault="00C622C5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 не более </w:t>
            </w:r>
            <w:r w:rsidR="0024070C" w:rsidRPr="00E41A65">
              <w:t>5</w:t>
            </w:r>
            <w:r w:rsidR="00A71EBD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300</w:t>
            </w:r>
          </w:p>
        </w:tc>
      </w:tr>
      <w:tr w:rsidR="00C622C5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</w:t>
            </w:r>
            <w:r w:rsidRPr="00E41A65">
              <w:t>50</w:t>
            </w:r>
          </w:p>
        </w:tc>
      </w:tr>
      <w:tr w:rsidR="00AF1D0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1 000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EB028F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28F" w:rsidRPr="00E41A65" w:rsidRDefault="00EB028F" w:rsidP="00EC11B4">
            <w:r w:rsidRPr="00E41A65"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24070C">
            <w:r w:rsidRPr="00E41A65">
              <w:t xml:space="preserve">не более 1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30E1B">
            <w:r w:rsidRPr="00E41A65">
              <w:t xml:space="preserve">не более </w:t>
            </w:r>
            <w:r w:rsidR="00A30E1B" w:rsidRPr="00E41A65">
              <w:t>20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>не более</w:t>
            </w:r>
            <w:r w:rsidR="00A30E1B" w:rsidRPr="00E41A65">
              <w:t xml:space="preserve"> 1 </w:t>
            </w:r>
            <w:r w:rsidR="0024070C" w:rsidRPr="00E41A65">
              <w:t>5</w:t>
            </w:r>
            <w:r w:rsidR="00A30E1B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05F36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 xml:space="preserve">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lastRenderedPageBreak/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lastRenderedPageBreak/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8A7546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546" w:rsidRPr="00E41A65" w:rsidRDefault="008A7546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</w:t>
            </w:r>
            <w:r w:rsidR="008A754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2D11AC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961110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110" w:rsidRPr="00E41A65" w:rsidRDefault="00961110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 xml:space="preserve">не более </w:t>
            </w:r>
            <w:r w:rsidR="0093000B" w:rsidRPr="00E41A65">
              <w:t xml:space="preserve">30 </w:t>
            </w:r>
            <w:r w:rsidRPr="00E41A65">
              <w:t xml:space="preserve"> </w:t>
            </w:r>
            <w:r w:rsidR="0093000B" w:rsidRPr="00E41A65">
              <w:t>кв. метров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3000B" w:rsidP="008A7546">
            <w:r w:rsidRPr="00E41A65">
              <w:t xml:space="preserve">не более 1 </w:t>
            </w:r>
            <w:r w:rsidR="008A7546" w:rsidRPr="00E41A65">
              <w:t>9</w:t>
            </w:r>
            <w:r w:rsidRPr="00E41A65">
              <w:t>00</w:t>
            </w:r>
          </w:p>
        </w:tc>
      </w:tr>
      <w:tr w:rsidR="00C622C5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E08DB">
            <w:r w:rsidRPr="00E41A65">
              <w:t xml:space="preserve">не более </w:t>
            </w:r>
            <w:r w:rsidR="009E08DB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400</w:t>
            </w:r>
          </w:p>
        </w:tc>
      </w:tr>
      <w:tr w:rsidR="00B847E3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8A7546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E105F0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t>не более 1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8A7546">
            <w:r w:rsidRPr="00E41A65">
              <w:t xml:space="preserve">не более 3 </w:t>
            </w:r>
            <w:r w:rsidR="008A7546" w:rsidRPr="00E41A65">
              <w:t>50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1 000</w:t>
            </w:r>
          </w:p>
        </w:tc>
      </w:tr>
      <w:tr w:rsidR="00880A6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8A7546">
            <w:r w:rsidRPr="00E41A65">
              <w:t xml:space="preserve">не более </w:t>
            </w:r>
            <w:r w:rsidR="008A7546" w:rsidRPr="00E41A65">
              <w:t>20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</w:t>
            </w:r>
            <w:r w:rsidRPr="00E41A65">
              <w:t xml:space="preserve"> единиц</w:t>
            </w:r>
            <w:r w:rsidR="00A71EBD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1 000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A71EBD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11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9F6344" w:rsidRPr="00E41A65"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5</w:t>
            </w:r>
            <w:r w:rsidRPr="00E41A65">
              <w:t>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  <w:r w:rsidR="008067C1" w:rsidRPr="00E41A65">
              <w:t>0</w:t>
            </w:r>
            <w:r w:rsidRPr="00E41A65">
              <w:t xml:space="preserve">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м</w:t>
            </w:r>
            <w:r w:rsidR="0093000B" w:rsidRPr="00E41A65">
              <w:t>етров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45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1</w:t>
            </w:r>
            <w:r w:rsidRPr="00E41A65">
              <w:t>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600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3A4615">
            <w:r w:rsidRPr="00E41A65">
              <w:t xml:space="preserve">не более </w:t>
            </w:r>
            <w:r w:rsidR="003A4615" w:rsidRPr="00E41A65">
              <w:t>250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>трических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671D4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53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C115B5" w:rsidRPr="00E41A65">
              <w:rPr>
                <w:bCs/>
                <w:color w:val="000000"/>
              </w:rPr>
              <w:t>3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lastRenderedPageBreak/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8095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E80952" w:rsidRPr="00E41A65">
              <w:rPr>
                <w:bCs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Буклеты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lastRenderedPageBreak/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150 000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75 000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5E259A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155C2C" w:rsidRPr="00326657" w:rsidRDefault="00155C2C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155C2C" w:rsidRPr="005760E9" w:rsidRDefault="00155C2C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5E259A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155C2C" w:rsidRPr="00326657" w:rsidRDefault="00155C2C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155C2C" w:rsidRDefault="00155C2C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155C2C" w:rsidRPr="005760E9" w:rsidRDefault="00155C2C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155C2C" w:rsidRDefault="00155C2C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lastRenderedPageBreak/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>держке детей-сирот и детей, оставшихся без 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норматива, утвержденного ра</w:t>
            </w:r>
            <w:r w:rsidRPr="00E41A65">
              <w:t>с</w:t>
            </w:r>
            <w:r w:rsidRPr="00E41A65">
              <w:t>поряжением Правительства Кировской области «Об установлении нормативов 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lastRenderedPageBreak/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плана транспортной безопасности,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97A8B" w:rsidRPr="00E41A65">
              <w:t>15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923F8"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9E3" w:rsidRDefault="005B29E3" w:rsidP="00351607">
      <w:r>
        <w:separator/>
      </w:r>
    </w:p>
  </w:endnote>
  <w:endnote w:type="continuationSeparator" w:id="1">
    <w:p w:rsidR="005B29E3" w:rsidRDefault="005B29E3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9E3" w:rsidRDefault="005B29E3" w:rsidP="00351607">
      <w:r>
        <w:separator/>
      </w:r>
    </w:p>
  </w:footnote>
  <w:footnote w:type="continuationSeparator" w:id="1">
    <w:p w:rsidR="005B29E3" w:rsidRDefault="005B29E3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1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55C2C" w:rsidRPr="00506635" w:rsidRDefault="00155C2C">
        <w:pPr>
          <w:pStyle w:val="a5"/>
          <w:jc w:val="center"/>
          <w:rPr>
            <w:sz w:val="28"/>
            <w:szCs w:val="28"/>
          </w:rPr>
        </w:pPr>
        <w:r w:rsidRPr="00506635">
          <w:rPr>
            <w:sz w:val="28"/>
            <w:szCs w:val="28"/>
          </w:rPr>
          <w:fldChar w:fldCharType="begin"/>
        </w:r>
        <w:r w:rsidRPr="00506635">
          <w:rPr>
            <w:sz w:val="28"/>
            <w:szCs w:val="28"/>
          </w:rPr>
          <w:instrText xml:space="preserve"> PAGE   \* MERGEFORMAT </w:instrText>
        </w:r>
        <w:r w:rsidRPr="00506635">
          <w:rPr>
            <w:sz w:val="28"/>
            <w:szCs w:val="28"/>
          </w:rPr>
          <w:fldChar w:fldCharType="separate"/>
        </w:r>
        <w:r w:rsidR="00E17ABF">
          <w:rPr>
            <w:noProof/>
            <w:sz w:val="28"/>
            <w:szCs w:val="28"/>
          </w:rPr>
          <w:t>30</w:t>
        </w:r>
        <w:r w:rsidRPr="00506635">
          <w:rPr>
            <w:sz w:val="28"/>
            <w:szCs w:val="28"/>
          </w:rPr>
          <w:fldChar w:fldCharType="end"/>
        </w:r>
      </w:p>
    </w:sdtContent>
  </w:sdt>
  <w:p w:rsidR="00155C2C" w:rsidRDefault="00155C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155C2C" w:rsidRDefault="00155C2C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2E9B"/>
    <w:rsid w:val="00052FE9"/>
    <w:rsid w:val="00055334"/>
    <w:rsid w:val="00055D65"/>
    <w:rsid w:val="00056E3E"/>
    <w:rsid w:val="00056F12"/>
    <w:rsid w:val="000631F4"/>
    <w:rsid w:val="00067F44"/>
    <w:rsid w:val="00075906"/>
    <w:rsid w:val="00076A4A"/>
    <w:rsid w:val="00085382"/>
    <w:rsid w:val="0008609B"/>
    <w:rsid w:val="00090384"/>
    <w:rsid w:val="0009082B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C3E00"/>
    <w:rsid w:val="000C539A"/>
    <w:rsid w:val="000C5F00"/>
    <w:rsid w:val="000D3D97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C9C"/>
    <w:rsid w:val="001122C1"/>
    <w:rsid w:val="00114291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42F6E"/>
    <w:rsid w:val="001456FD"/>
    <w:rsid w:val="001467C0"/>
    <w:rsid w:val="00150036"/>
    <w:rsid w:val="00150F64"/>
    <w:rsid w:val="00153778"/>
    <w:rsid w:val="00155C2C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609"/>
    <w:rsid w:val="00200C0E"/>
    <w:rsid w:val="00201E93"/>
    <w:rsid w:val="002032B8"/>
    <w:rsid w:val="00203BE0"/>
    <w:rsid w:val="002042F7"/>
    <w:rsid w:val="002059B7"/>
    <w:rsid w:val="0020759B"/>
    <w:rsid w:val="00217E92"/>
    <w:rsid w:val="002238E5"/>
    <w:rsid w:val="00224E96"/>
    <w:rsid w:val="00225E80"/>
    <w:rsid w:val="00230945"/>
    <w:rsid w:val="0023231F"/>
    <w:rsid w:val="0023320E"/>
    <w:rsid w:val="00233FF8"/>
    <w:rsid w:val="00237FC5"/>
    <w:rsid w:val="0024070C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D11AC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21071"/>
    <w:rsid w:val="00322C0A"/>
    <w:rsid w:val="00323680"/>
    <w:rsid w:val="00324356"/>
    <w:rsid w:val="003264BC"/>
    <w:rsid w:val="00326E81"/>
    <w:rsid w:val="00327586"/>
    <w:rsid w:val="003303CE"/>
    <w:rsid w:val="0034663B"/>
    <w:rsid w:val="00351607"/>
    <w:rsid w:val="00352C46"/>
    <w:rsid w:val="0035519F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A2122"/>
    <w:rsid w:val="003A3CD6"/>
    <w:rsid w:val="003A4615"/>
    <w:rsid w:val="003A5F4E"/>
    <w:rsid w:val="003B1D52"/>
    <w:rsid w:val="003B3331"/>
    <w:rsid w:val="003B6CC2"/>
    <w:rsid w:val="003C0190"/>
    <w:rsid w:val="003D0056"/>
    <w:rsid w:val="003D26C1"/>
    <w:rsid w:val="003D3CD0"/>
    <w:rsid w:val="003D3F2F"/>
    <w:rsid w:val="003D5B30"/>
    <w:rsid w:val="003D7A86"/>
    <w:rsid w:val="003E1067"/>
    <w:rsid w:val="003E177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50CC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85C"/>
    <w:rsid w:val="004907C0"/>
    <w:rsid w:val="0049477B"/>
    <w:rsid w:val="0049540E"/>
    <w:rsid w:val="0049663A"/>
    <w:rsid w:val="004A0B5D"/>
    <w:rsid w:val="004A0F29"/>
    <w:rsid w:val="004B13FA"/>
    <w:rsid w:val="004B15E1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8F"/>
    <w:rsid w:val="00526ECC"/>
    <w:rsid w:val="00530771"/>
    <w:rsid w:val="00536678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425"/>
    <w:rsid w:val="005A65DF"/>
    <w:rsid w:val="005A6697"/>
    <w:rsid w:val="005A66D3"/>
    <w:rsid w:val="005B1760"/>
    <w:rsid w:val="005B29E3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59A"/>
    <w:rsid w:val="005E2D26"/>
    <w:rsid w:val="005E691D"/>
    <w:rsid w:val="005F3390"/>
    <w:rsid w:val="005F4CDF"/>
    <w:rsid w:val="005F5CCF"/>
    <w:rsid w:val="00600262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25D2"/>
    <w:rsid w:val="0063430E"/>
    <w:rsid w:val="00636DBF"/>
    <w:rsid w:val="00637450"/>
    <w:rsid w:val="006415F5"/>
    <w:rsid w:val="006419D2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702848"/>
    <w:rsid w:val="00702B08"/>
    <w:rsid w:val="00703465"/>
    <w:rsid w:val="00705AE5"/>
    <w:rsid w:val="00706A57"/>
    <w:rsid w:val="007115D8"/>
    <w:rsid w:val="00714B8A"/>
    <w:rsid w:val="0071737F"/>
    <w:rsid w:val="00720D72"/>
    <w:rsid w:val="007222E5"/>
    <w:rsid w:val="00725573"/>
    <w:rsid w:val="00726488"/>
    <w:rsid w:val="00726C55"/>
    <w:rsid w:val="00727DAE"/>
    <w:rsid w:val="00727DDF"/>
    <w:rsid w:val="00735298"/>
    <w:rsid w:val="00740462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803667"/>
    <w:rsid w:val="008067C1"/>
    <w:rsid w:val="00826BFE"/>
    <w:rsid w:val="00830890"/>
    <w:rsid w:val="00831C64"/>
    <w:rsid w:val="0083329B"/>
    <w:rsid w:val="00833406"/>
    <w:rsid w:val="00835391"/>
    <w:rsid w:val="008469AC"/>
    <w:rsid w:val="00847513"/>
    <w:rsid w:val="0085040B"/>
    <w:rsid w:val="00850CF1"/>
    <w:rsid w:val="00854B67"/>
    <w:rsid w:val="00855D3C"/>
    <w:rsid w:val="00855FE8"/>
    <w:rsid w:val="00860F6B"/>
    <w:rsid w:val="008633B4"/>
    <w:rsid w:val="008649C8"/>
    <w:rsid w:val="00865885"/>
    <w:rsid w:val="00871839"/>
    <w:rsid w:val="00873A94"/>
    <w:rsid w:val="008745C0"/>
    <w:rsid w:val="00875992"/>
    <w:rsid w:val="0087599C"/>
    <w:rsid w:val="00880A6B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3BC8"/>
    <w:rsid w:val="008B44EE"/>
    <w:rsid w:val="008B450F"/>
    <w:rsid w:val="008B6A1D"/>
    <w:rsid w:val="008C0F94"/>
    <w:rsid w:val="008D0E93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7774"/>
    <w:rsid w:val="00947822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849A5"/>
    <w:rsid w:val="009906F0"/>
    <w:rsid w:val="0099079D"/>
    <w:rsid w:val="00991BC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99A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9BD"/>
    <w:rsid w:val="00B12CE3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233B"/>
    <w:rsid w:val="00BB2E4E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664B"/>
    <w:rsid w:val="00C8128E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D00F2"/>
    <w:rsid w:val="00CD14E9"/>
    <w:rsid w:val="00CD3BE1"/>
    <w:rsid w:val="00CD42DE"/>
    <w:rsid w:val="00CD4B17"/>
    <w:rsid w:val="00CD4EF1"/>
    <w:rsid w:val="00CD5584"/>
    <w:rsid w:val="00CD7D7C"/>
    <w:rsid w:val="00CE39E3"/>
    <w:rsid w:val="00CE46D3"/>
    <w:rsid w:val="00CE7182"/>
    <w:rsid w:val="00CF0F85"/>
    <w:rsid w:val="00D01E84"/>
    <w:rsid w:val="00D03897"/>
    <w:rsid w:val="00D05FD7"/>
    <w:rsid w:val="00D133EE"/>
    <w:rsid w:val="00D25D55"/>
    <w:rsid w:val="00D27F22"/>
    <w:rsid w:val="00D3005A"/>
    <w:rsid w:val="00D30193"/>
    <w:rsid w:val="00D3566F"/>
    <w:rsid w:val="00D36EF7"/>
    <w:rsid w:val="00D41CD7"/>
    <w:rsid w:val="00D42433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6738B"/>
    <w:rsid w:val="00D74806"/>
    <w:rsid w:val="00D77724"/>
    <w:rsid w:val="00D85A30"/>
    <w:rsid w:val="00D93633"/>
    <w:rsid w:val="00D9678D"/>
    <w:rsid w:val="00D967EB"/>
    <w:rsid w:val="00DA1E30"/>
    <w:rsid w:val="00DA5C80"/>
    <w:rsid w:val="00DA76AB"/>
    <w:rsid w:val="00DB5329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508C"/>
    <w:rsid w:val="00E105F0"/>
    <w:rsid w:val="00E10DA9"/>
    <w:rsid w:val="00E1151A"/>
    <w:rsid w:val="00E12A60"/>
    <w:rsid w:val="00E12DDE"/>
    <w:rsid w:val="00E12FB8"/>
    <w:rsid w:val="00E16C91"/>
    <w:rsid w:val="00E17ABF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3026"/>
    <w:rsid w:val="00F16C47"/>
    <w:rsid w:val="00F25D2F"/>
    <w:rsid w:val="00F3180B"/>
    <w:rsid w:val="00F33D66"/>
    <w:rsid w:val="00F35362"/>
    <w:rsid w:val="00F355E1"/>
    <w:rsid w:val="00F40A4D"/>
    <w:rsid w:val="00F416DC"/>
    <w:rsid w:val="00F43BEF"/>
    <w:rsid w:val="00F50629"/>
    <w:rsid w:val="00F531C6"/>
    <w:rsid w:val="00F63912"/>
    <w:rsid w:val="00F7017C"/>
    <w:rsid w:val="00F70AB2"/>
    <w:rsid w:val="00F70E91"/>
    <w:rsid w:val="00F719E9"/>
    <w:rsid w:val="00F721EF"/>
    <w:rsid w:val="00F72A98"/>
    <w:rsid w:val="00F75C03"/>
    <w:rsid w:val="00F773E9"/>
    <w:rsid w:val="00F80DC5"/>
    <w:rsid w:val="00F84B6B"/>
    <w:rsid w:val="00F84E23"/>
    <w:rsid w:val="00F92FA1"/>
    <w:rsid w:val="00F95BE0"/>
    <w:rsid w:val="00FA213A"/>
    <w:rsid w:val="00FA471E"/>
    <w:rsid w:val="00FA677A"/>
    <w:rsid w:val="00FB0EAD"/>
    <w:rsid w:val="00FC0499"/>
    <w:rsid w:val="00FC0DBC"/>
    <w:rsid w:val="00FC26CA"/>
    <w:rsid w:val="00FC2BB8"/>
    <w:rsid w:val="00FC48ED"/>
    <w:rsid w:val="00FC7ABA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CD21-2EAE-4B31-A85A-DBBDBEC1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65</Pages>
  <Words>17038</Words>
  <Characters>97117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18</cp:revision>
  <cp:lastPrinted>2022-05-13T06:52:00Z</cp:lastPrinted>
  <dcterms:created xsi:type="dcterms:W3CDTF">2022-06-21T07:09:00Z</dcterms:created>
  <dcterms:modified xsi:type="dcterms:W3CDTF">2022-06-22T06:22:00Z</dcterms:modified>
</cp:coreProperties>
</file>