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26" w:rsidRPr="0031782C" w:rsidRDefault="00EA3526" w:rsidP="00EA3526">
      <w:pPr>
        <w:shd w:val="clear" w:color="auto" w:fill="FFFFFF"/>
        <w:tabs>
          <w:tab w:val="left" w:leader="underscore" w:pos="9019"/>
        </w:tabs>
        <w:suppressAutoHyphens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</w:pPr>
      <w:bookmarkStart w:id="0" w:name="_GoBack"/>
      <w:r w:rsidRPr="0031782C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ПОЯСНИТЕЛЬНАЯ ЗАПИСКА</w:t>
      </w:r>
    </w:p>
    <w:p w:rsidR="00EA3526" w:rsidRPr="0031782C" w:rsidRDefault="00EA3526" w:rsidP="00EA352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к докладу главы администрации муниципального образования</w:t>
      </w:r>
    </w:p>
    <w:p w:rsidR="00EA3526" w:rsidRPr="0031782C" w:rsidRDefault="00EA3526" w:rsidP="00EA352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 достигнутых значениях показателей для оценки эффективности</w:t>
      </w:r>
    </w:p>
    <w:p w:rsidR="00EA3526" w:rsidRPr="0031782C" w:rsidRDefault="00EA3526" w:rsidP="00EA352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деятельности Нагорского муниципального района</w:t>
      </w:r>
      <w:r w:rsidRPr="003178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за 2024 год</w:t>
      </w:r>
    </w:p>
    <w:p w:rsidR="00EA3526" w:rsidRPr="0031782C" w:rsidRDefault="00EA3526" w:rsidP="00EA352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 их планируемых значениях на 3-летний период</w:t>
      </w:r>
    </w:p>
    <w:p w:rsidR="00EA3526" w:rsidRPr="0031782C" w:rsidRDefault="00EA3526" w:rsidP="00EA352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A3526" w:rsidRPr="0031782C" w:rsidRDefault="00EA3526" w:rsidP="00EA352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Географическое положение.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расположен в северо-восточной части Кировской области. На севере граничит с республикой Коми, с востока – Верхнекамским, с юга –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Белохолуницким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Слободским районами, с запада – Слободским районом и республикой Коми. Расстояние от районного центра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Нагорск до областного центра г. Киров </w:t>
      </w:r>
      <w:smartTag w:uri="urn:schemas-microsoft-com:office:smarttags" w:element="metricconverter">
        <w:smartTagPr>
          <w:attr w:name="ProductID" w:val="130 км"/>
        </w:smartTagPr>
        <w:r w:rsidRPr="00317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130 км</w:t>
        </w:r>
      </w:smartTag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района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7235,78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кв.км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6% площади Кировской области. 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Среднегодовая </w:t>
      </w: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численность населения</w:t>
      </w: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за 2024 год составила 6126 человек.</w:t>
      </w:r>
    </w:p>
    <w:p w:rsidR="00EA3526" w:rsidRPr="0031782C" w:rsidRDefault="00EA3526" w:rsidP="00EA3526">
      <w:pPr>
        <w:tabs>
          <w:tab w:val="right" w:pos="1006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сферы деятельности населения.</w:t>
      </w:r>
    </w:p>
    <w:p w:rsidR="00EA3526" w:rsidRPr="0031782C" w:rsidRDefault="00EA3526" w:rsidP="00EA3526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В п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ромышленности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 16,9% работающего населения района, создается 92% валового продукта. Промышленный потенциал формируют предприятия, занимающиеся обработкой древесины и производством изделий из дерева, производством и распределением электроэнергии, воды. В структуре промышленного производства доминирующее положение занимают обработка древесины и производство изделий из дерева (93,7% общего объема). Производство пищевых продуктов, включая напитки, представлено четырьмя хозяйствующими субъектами. Основные виды деятельности – производство хлеба, хлебобулочных и кондитерских изделий, а также безалкогольной продукции. 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Нагорском районе слабо развито ввиду географического положения муниципального образования (территория района относится к северной агроклиматической зоне Кировской области).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районе осуществляли деятельность одно сельскохозяйственное предприятие – ООО «СПК Заря», одно крестьянское (фермерское) хозяйство «Марал» (ИП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Дударева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Л.Н.) и 1682 личных подсобных хозяйства. Сельскохозяйственное предприятие ООО «СПК Заря» специализируется на производстве молока и мяса крупного рогатого скота, производством зерновых культур, а также на заготовке древесины. Предприятие имеет арендные участки леса.</w:t>
      </w:r>
    </w:p>
    <w:p w:rsidR="00EA3526" w:rsidRPr="0031782C" w:rsidRDefault="00EA3526" w:rsidP="00EA35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потребительского рынка и услуг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важнейших отраслей экономики. В районе в настоящее время функционирует 15 предприятий и 27 предпринимателей</w:t>
      </w: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отрасли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и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общественного питания, а также универсальная ярмарка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Нагорск</w:t>
      </w: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.</w:t>
      </w:r>
    </w:p>
    <w:p w:rsidR="00EA3526" w:rsidRPr="0031782C" w:rsidRDefault="00EA3526" w:rsidP="00EA3526">
      <w:pPr>
        <w:tabs>
          <w:tab w:val="right" w:pos="1006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социально - экономического развития: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сохранение и развитие человеческого потенциала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развитие экономического потенциала и повышение эффективности и использования природных ресурсов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Экономическое развитие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Основная специализация </w:t>
      </w:r>
      <w:r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промышленного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производства в районе – лесозаготовка и переработка древесины. Лесопромышленный комплекс в районе представлен субъектами малого предпринимательства. 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34 арендатора лесных участков. Годовой объем освоения расчетной лесосеки выполнен на 88,52%, то есть из 954,76 тыс. куб. м фактически освоено 845,19 тыс. куб. м. В 2023 году освоение годовой расчетной лесосеки составляло 75,0%.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Производство пиломатериалов в целом по району, в том числе у индивидуальных предпринимателей, составило 31,4 тыс. куб. м, что на 0,2 тыс. куб. м меньше, чем в 2023 году.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По итогам 2024 год оборот организаций в целом по району выразился в сумме 1529,1 млн. руб., что на 25,2 млн. руб. больше 2023 года.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Пищевая промышленность в районе представлена ООО «Нагорский </w:t>
      </w:r>
      <w:proofErr w:type="spellStart"/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хлебокомбинат</w:t>
      </w:r>
      <w:proofErr w:type="spellEnd"/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», ООО «</w:t>
      </w:r>
      <w:proofErr w:type="spellStart"/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Нагорская</w:t>
      </w:r>
      <w:proofErr w:type="spellEnd"/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КООП», ОАО «</w:t>
      </w:r>
      <w:proofErr w:type="spellStart"/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Синегорье</w:t>
      </w:r>
      <w:proofErr w:type="spellEnd"/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», ООО «Орион» и ИП </w:t>
      </w:r>
      <w:proofErr w:type="spellStart"/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Двоеглазова</w:t>
      </w:r>
      <w:proofErr w:type="spellEnd"/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М.О.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Произведено хлеба и хлебобулочных изделий предприятиями и индивидуальными предпринимателями на сумму 20,2 млн. рублей, что на 5,8 млн. рублей меньше, чем в 2023 году. Необходимо отметить, что в натуральном выражении производство хлеба уменьшилось на 69,8 тонн по отношению к 2023 году. 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малого предпринимательства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важнейших факторов экономического роста, формирования основ политической и социальной стабильности общества.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Всего в сфере малого предпринимательства занято 1157 чел., что составляет 39,2% от численности занятых в экономике.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46 малых предприятиях работает 518 чел., зарегистрировано индивидуальных предпринимателей – 141, занятых по найму у предпринимателей – 497 чел.</w:t>
      </w:r>
    </w:p>
    <w:p w:rsidR="00EA3526" w:rsidRPr="0031782C" w:rsidRDefault="00EA3526" w:rsidP="00EA3526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Среднемесячная заработная плата у работников малых предприятий составила 27 171,8 руб. (рост 6,6%), у лиц, занятых трудом по найму у индивидуальных предпринимателей – 23 105,3 руб. (рост 6,9%).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Удельный вес налоговых платежей от субъектов малого и среднего предпринимательства в общем объеме налоговых поступлений за 2024 год оценивается в размере 57,1%. От субъектов малого предпринимательства поступило налоговых платежей в сумме 58,2 млн. руб.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инвестиционном направлении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органов местного самоуправления – создать условия для привлечения инвестиций в район и, прежде всего, через развитие транспортной инфраструктуры, телефонной связи и телекоммуникаций. Важным в инвестиционном развитии территории является и наличие инвестиционных площадок и проектов, привлекательных для потенциальных инвесторов. 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 в основной капитал за 202</w:t>
      </w:r>
      <w:r w:rsidR="00EB007E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составили по крупным и средним предприятиям (по статистической форме П-2) </w:t>
      </w:r>
      <w:r w:rsidR="00C626F7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37,4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</w:t>
      </w:r>
      <w:r w:rsidR="00597E10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руб., что на </w:t>
      </w:r>
      <w:r w:rsidR="00C626F7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80% выше 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</w:t>
      </w:r>
      <w:r w:rsidR="00C626F7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626F7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Дороги. 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Основу автодорожной сети составляют дороги 4 и 5 категорий. Общая протяженность дорог составляет 403,6 км. 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острыми проблемами дорожной отрасли остаются высокая степень износа и неудовлетворительное состояние дорог общего пользования местного значения, вызванная многолетним недофинансированием работ по содержанию автомобильных дорог.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Недоремонт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70%.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Недоремонт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 в условиях бурного роста интенсивности транспортных потоков и увеличения массы, используемых при перевозках транспортных средств, приводит к ускорению износа автодорог, необратимым процессам разрушения дорожных конструкций. Не в полном объеме выполняются работы по усилению дорожной одежды, устройству поверхностной обработки, восстановления изношенных покрытий, профиля гравийных и щебеночных покрытий.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27 деревянных мостов, из них 3 низководных моста. Срок эксплуатации деревянных мостов (за исключением низководных) около 7 лет, износ мостов высокой степени, в связи с чем требуется в дальнейшем ремонт и капитальный ремонт мостов с затратами в 20,0 млн. рублей. Затраты на содержание низководных мостов составляют ежегодно около 13,0 млн. рублей.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за счет субсидии из областного бюджета и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выполнен комплекс мероприятий по содержанию автомобильных дорог общего пользования местного значения и искусственных сооружений на них на сумму 89,6 млн. руб.</w:t>
      </w:r>
    </w:p>
    <w:p w:rsidR="00EA3526" w:rsidRPr="0031782C" w:rsidRDefault="00EA3526" w:rsidP="00EA3526">
      <w:pPr>
        <w:suppressAutoHyphens/>
        <w:spacing w:after="48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Средняя заработная плата</w:t>
      </w: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в крупных предприятиях и учреждениях (по форме П-4) за 2024 год по району возросла на 14,7% и составила 44 270,2 руб.</w:t>
      </w:r>
    </w:p>
    <w:p w:rsidR="00EA3526" w:rsidRPr="0031782C" w:rsidRDefault="00EA3526" w:rsidP="00EA352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Пояснения показателей.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№1 «Число субъектов малого и среднего предпринимательства в расчете на 10 тыс. человек населения»</w:t>
      </w:r>
    </w:p>
    <w:p w:rsidR="0031782C" w:rsidRPr="0031782C" w:rsidRDefault="00EA3526" w:rsidP="003178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федерального Единого реестра СМП на 01.01.202</w:t>
      </w:r>
      <w:r w:rsidR="009E2B52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97E10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в районе малых предприятий и ИП 18</w:t>
      </w:r>
      <w:r w:rsidR="009E2B52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="003178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</w:t>
      </w:r>
      <w:r w:rsidR="009E2B52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Х 10 =</w:t>
      </w:r>
      <w:r w:rsidR="009E2B52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303,7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26" w:rsidRPr="0031782C" w:rsidRDefault="0031782C" w:rsidP="003178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увеличился с 202</w:t>
      </w:r>
      <w:r w:rsidR="009E2B52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97E10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снижения численности населения на  </w:t>
      </w:r>
      <w:r w:rsidR="009E2B52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31782C" w:rsidRPr="0031782C" w:rsidRDefault="0031782C" w:rsidP="003178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№2 «Доля среднесписочной численности работников (без внешних совместителей) малых и средних предприятии в среднеспи</w:t>
      </w:r>
      <w:r w:rsidR="0031782C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сочной численности работников (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внешних совместителей) всех предприятий и организаций»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118" w:rsidRPr="0031782C" w:rsidRDefault="00B90118" w:rsidP="00B901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год. 449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</w:t>
      </w:r>
      <w:r w:rsidR="00597E10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в малых предприятиях. Расчет: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+ 10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П-4)</w:t>
      </w:r>
      <w:r w:rsidR="003178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= 3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78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A3526" w:rsidRPr="0031782C" w:rsidRDefault="00EA3526" w:rsidP="00B901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901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численность работников в малых предприятиях у</w:t>
      </w:r>
      <w:r w:rsidR="00B901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901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31782C" w:rsidRPr="0031782C" w:rsidRDefault="0031782C" w:rsidP="00B901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Показатель № 3 «Объем инвестиций в основной капитал (за исключением бюджетных средств) в расчете на 1 жителя» 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– 619,4 руб. на 1 жителя, в 2024 году – 1106,9 руб. на 1 жителя. 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Расчет:</w:t>
      </w:r>
    </w:p>
    <w:p w:rsidR="00EA3526" w:rsidRPr="0031782C" w:rsidRDefault="0031782C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6780869,00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6126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=1106,9 руб.</m:t>
          </m:r>
        </m:oMath>
      </m:oMathPara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6126 – среднегодовая численность населения за 2024 год.</w:t>
      </w:r>
    </w:p>
    <w:p w:rsidR="00EA3526" w:rsidRPr="0031782C" w:rsidRDefault="00EA3526" w:rsidP="00EA3526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 2023 года в 1,8 раза. В 2024 году значительные вложения инвестиций осуществлял</w:t>
      </w:r>
      <w:proofErr w:type="gram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77A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6477A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«Агроторг»</w:t>
      </w:r>
      <w:r w:rsidR="00C04804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="006477A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 замену оборудования в магазине «Пятерочка», а также реконструкцию помещения. Кроме того</w:t>
      </w:r>
      <w:r w:rsidR="00C04804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лесозаготовительной отрасли приобре</w:t>
      </w:r>
      <w:r w:rsidR="006477A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</w:t>
      </w:r>
      <w:r w:rsidR="006477A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6477A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лесопильны</w:t>
      </w:r>
      <w:r w:rsidR="006477A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станк</w:t>
      </w:r>
      <w:r w:rsidR="006477A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 4 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 – 4,14%.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01.01.2025 по данным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78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муниципального района составляет 723578 га.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в собственности граждан – 29975 га.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26" w:rsidRPr="0031782C" w:rsidRDefault="0031782C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29975 га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723578 га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×100%=4,14% </m:t>
          </m:r>
        </m:oMath>
      </m:oMathPara>
    </w:p>
    <w:p w:rsidR="00EA3526" w:rsidRPr="0031782C" w:rsidRDefault="00EA3526" w:rsidP="00EA352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№ 7 «Доля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– 8,8%, за 2024 год – 27,31%. Увеличение с 2023 года в 3 раза.</w:t>
      </w:r>
    </w:p>
    <w:p w:rsidR="00EA3526" w:rsidRPr="0031782C" w:rsidRDefault="00EA3526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увеличения: в 2024 году неоднократно проводился аукцион на оказание услуг по перевозке пассажиров, в связи с тем, что заявки на участие в аукционе не поступали, рейсы на межмуниципальном маршруте «Нагорск – Орлецы» не осуществлялись.</w:t>
      </w:r>
      <w:r w:rsidR="008D3482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2024 году имели регулярное транспортное </w:t>
      </w:r>
      <w:r w:rsidR="008D3482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в: </w:t>
      </w:r>
    </w:p>
    <w:p w:rsidR="00EA3526" w:rsidRPr="0031782C" w:rsidRDefault="00EA3526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Нагорск – 3963 чел., </w:t>
      </w:r>
    </w:p>
    <w:p w:rsidR="00EA3526" w:rsidRPr="0031782C" w:rsidRDefault="00EA3526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Чеглаки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135 чел.,</w:t>
      </w:r>
    </w:p>
    <w:p w:rsidR="00EA3526" w:rsidRPr="0031782C" w:rsidRDefault="00EA3526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Шевырталово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191 чел.,</w:t>
      </w:r>
    </w:p>
    <w:p w:rsidR="00EA3526" w:rsidRPr="0031782C" w:rsidRDefault="00EA3526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Заево – 164 чел., </w:t>
      </w:r>
    </w:p>
    <w:p w:rsidR="00EA3526" w:rsidRPr="0031782C" w:rsidRDefault="00EA3526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 – 4453 чел. </w:t>
      </w:r>
    </w:p>
    <w:p w:rsidR="00EA3526" w:rsidRPr="0031782C" w:rsidRDefault="00EA3526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постоянного населения за 2024 год 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6126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человек.</w:t>
      </w:r>
    </w:p>
    <w:p w:rsidR="00EA3526" w:rsidRPr="0031782C" w:rsidRDefault="00EA3526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526" w:rsidRPr="0031782C" w:rsidRDefault="00EA3526" w:rsidP="00EA352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6126-4453=1673</m:t>
          </m:r>
        </m:oMath>
      </m:oMathPara>
    </w:p>
    <w:p w:rsidR="00EA3526" w:rsidRPr="0031782C" w:rsidRDefault="0031782C" w:rsidP="00EA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1673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6126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×100%=27,31</m:t>
          </m:r>
        </m:oMath>
      </m:oMathPara>
    </w:p>
    <w:p w:rsidR="00B20D45" w:rsidRPr="0031782C" w:rsidRDefault="00B20D45" w:rsidP="00B2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второй половине 2025г. муниципальный маршрут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«Нагорск – Орлецы» возобновится, т.е. показатель улучшится с 27,31% до 5,4%.</w:t>
      </w:r>
    </w:p>
    <w:p w:rsidR="0031782C" w:rsidRPr="0031782C" w:rsidRDefault="0031782C" w:rsidP="00B2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26" w:rsidRPr="0031782C" w:rsidRDefault="00EA3526" w:rsidP="00B2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показателю № 8 «Среднемесячная номинальная начисленная заработная плата работников»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2027 года запланировано увеличение заработной платы работникам дошкольных и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общеообразовательных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и работникам культуры на 3,0-8,0%.</w:t>
      </w:r>
    </w:p>
    <w:p w:rsidR="0031782C" w:rsidRPr="0031782C" w:rsidRDefault="0031782C" w:rsidP="00B2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26" w:rsidRPr="0031782C" w:rsidRDefault="00EA3526" w:rsidP="00EA3526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 9 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0555F0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составил 55% (252</w:t>
      </w:r>
      <w:proofErr w:type="gramStart"/>
      <w:r w:rsidR="000555F0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55F0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458), в 2022 году – 86,18% (237 : 275), в 2023 году – 83,5% (193 : 231), в 2024 году – 80,1% (173 : 216), то есть снижение по сравнению с 2023 годом на 3,4%. Снижение показателя связано с уменьшением численности детей в возрасте 1-6 лет, получающих дошкольную образовательную услугу.</w:t>
      </w:r>
    </w:p>
    <w:p w:rsidR="00D12FB2" w:rsidRPr="0031782C" w:rsidRDefault="00D12FB2" w:rsidP="00D12FB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№ 10 «Доля детей в возрасте 1-6 лет, состоящих на учете для определения в муниципальные дошкольные образовательные   учреждения, в общей численности детей в возрасте 1-6 лет»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2021г составил 5,5% (25: 458), в 2022г – 4,7% (13</w:t>
      </w:r>
      <w:proofErr w:type="gram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275), в 2023г – 6,5% (15 : 231), в 2024г – 3,7% (8 : 216). Показатель в 2024 году снизился в связи с уменьшением численности детей от 1 до 3 лет, состоявших на учете для определения в дошкольные образовательные учреждения.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 11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составил 83,3</w:t>
      </w:r>
      <w:r w:rsidR="000555F0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A3526" w:rsidRPr="0031782C" w:rsidRDefault="00EA3526" w:rsidP="00EA3526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статистической отчетности 85-К за 2024 год показаны 5 детских садов, в которых требуется капитальный ремонт (МКДОУ д/с № 1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Нагорск, МКДОУ д/с № 2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Нагорск, МКДОУ д/с № 3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Нагорск, МКДОУ д/с № 5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Нагорск, МКДОУ д/с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Синегорье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3526" w:rsidRPr="0031782C" w:rsidRDefault="00EA3526" w:rsidP="00EA3526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 13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202</w:t>
      </w:r>
      <w:r w:rsidR="003C3F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 </w:t>
      </w:r>
      <w:r w:rsidR="003C3F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76,25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% (ниже по сравнению с 202</w:t>
      </w:r>
      <w:r w:rsidR="003C3F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на </w:t>
      </w:r>
      <w:r w:rsidR="003C3F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1,25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 14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4A29C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C3F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80%. </w:t>
      </w:r>
    </w:p>
    <w:p w:rsidR="00EA3526" w:rsidRPr="0031782C" w:rsidRDefault="00EA3526" w:rsidP="004A29C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статистической отчетности ОО-2 за 202</w:t>
      </w:r>
      <w:r w:rsidR="003C3F2C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показаны 4 школы, в которых требуется капитальный ремонт (МКОУ СОШ с. Заево, МКОУ СОШ п. Кобра, МКОУ ООШ с.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МКОУ СОШ п. Орлецы).</w:t>
      </w:r>
    </w:p>
    <w:p w:rsidR="00EA3526" w:rsidRPr="0031782C" w:rsidRDefault="004A29CD" w:rsidP="004A29C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Показатель № 15 </w:t>
      </w:r>
      <w:r w:rsidR="00EA352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«Доля детей первой и второй групп здоровья в общей </w:t>
      </w:r>
      <w:proofErr w:type="gramStart"/>
      <w:r w:rsidR="00EA352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численности</w:t>
      </w:r>
      <w:proofErr w:type="gramEnd"/>
      <w:r w:rsidR="00EA352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в муниципальных общеобразовательных учреждениях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6E74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6E74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на </w:t>
      </w:r>
      <w:r w:rsidR="006E74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,6% выше по сравнению с 202</w:t>
      </w:r>
      <w:r w:rsidR="006E74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E7418" w:rsidRPr="0031782C" w:rsidRDefault="004A29CD" w:rsidP="003178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№ 17 «Расходы бюджета </w:t>
      </w:r>
      <w:r w:rsidR="00EA352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на общее образование в 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расчете на </w:t>
      </w:r>
      <w:r w:rsidR="00EA352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обучающегося  в муни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ципальных общеобразовательных учреждениях» 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E74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6E74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71,87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6E74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</w:t>
      </w:r>
      <w:r w:rsidR="006E7418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87,89</w:t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6E7418" w:rsidRPr="0031782C">
        <w:rPr>
          <w:rFonts w:ascii="Times New Roman" w:hAnsi="Times New Roman" w:cs="Times New Roman"/>
          <w:sz w:val="28"/>
          <w:szCs w:val="28"/>
        </w:rPr>
        <w:t xml:space="preserve">Увеличение расходов на 1 обучающегося связано с уменьшением численности учащихся в 2024 году, с увеличением расходов на выплату заработной платы работникам общеобразовательных организаций. </w:t>
      </w:r>
    </w:p>
    <w:p w:rsidR="006E7418" w:rsidRPr="0031782C" w:rsidRDefault="00EA3526" w:rsidP="006E7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№ 18 «Доля детей в возрасте 5-18 лет, получающих    услуги по дополнительному образованию в организациях различной организационно-правовой формы собственности в общей численности детей данной возрастной группы» </w:t>
      </w:r>
      <w:r w:rsidR="006E7418" w:rsidRPr="0031782C">
        <w:rPr>
          <w:rFonts w:ascii="Times New Roman" w:hAnsi="Times New Roman" w:cs="Times New Roman"/>
          <w:sz w:val="28"/>
          <w:szCs w:val="28"/>
        </w:rPr>
        <w:t>в 2023г. – 99,75% (830</w:t>
      </w:r>
      <w:proofErr w:type="gramStart"/>
      <w:r w:rsidR="006E7418" w:rsidRPr="003178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7418" w:rsidRPr="0031782C">
        <w:rPr>
          <w:rFonts w:ascii="Times New Roman" w:hAnsi="Times New Roman" w:cs="Times New Roman"/>
          <w:sz w:val="28"/>
          <w:szCs w:val="28"/>
        </w:rPr>
        <w:t xml:space="preserve"> 833), в 2024г – 77,6% (602 : 776). Снижение показателя связано с уменьшением численности </w:t>
      </w:r>
      <w:proofErr w:type="gramStart"/>
      <w:r w:rsidR="006E7418" w:rsidRPr="003178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7418" w:rsidRPr="0031782C">
        <w:rPr>
          <w:rFonts w:ascii="Times New Roman" w:hAnsi="Times New Roman" w:cs="Times New Roman"/>
          <w:sz w:val="28"/>
          <w:szCs w:val="28"/>
        </w:rPr>
        <w:t>, получающих дополнительное образование.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20 «Доля муниципальных учреждений культуры, здания которых находятся в аварийном состоянии или</w:t>
      </w:r>
      <w:r w:rsidR="004A29CD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требуют капитального ремонта, 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общем количестве муниципальных учреждений культуры»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C32DF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C32DF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32DF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отремонтировано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Шевырталовского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="00CC32DF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82C" w:rsidRPr="0031782C" w:rsidRDefault="0031782C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22</w:t>
      </w:r>
      <w:r w:rsidR="004A29CD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населения, систематически </w:t>
      </w:r>
      <w:proofErr w:type="gramStart"/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занимающихся</w:t>
      </w:r>
      <w:proofErr w:type="gramEnd"/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культурой и спортом, в общей численности населения»  -48,0%.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рассчитан в соответствии с данными федерального статистического наблюдения по форме № 1-ФК «Сведения о физической культуре и спорте». Согласно методическим рекомендациям </w:t>
      </w:r>
      <w:r w:rsidR="004A29C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данного показателя взята численность населения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4A29C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в возрасте от 3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79 лет.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81E9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г.- </w:t>
      </w:r>
      <w:r w:rsidR="00A81E9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3150</w:t>
      </w:r>
      <w:proofErr w:type="gram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9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5858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A81E9E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53,77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31782C" w:rsidRPr="0031782C" w:rsidRDefault="0031782C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D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24.1</w:t>
      </w:r>
      <w:r w:rsidR="004A29CD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площадь жилых помещений, приходящаяся в среднем на одного жителя всего».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общая площадь жилых помещений составила по состоянию на 01.01.202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тыс.м2.   </w:t>
      </w:r>
    </w:p>
    <w:p w:rsidR="003107D6" w:rsidRPr="0031782C" w:rsidRDefault="0031782C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230,79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6,026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=38,299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:rsidR="00EA3526" w:rsidRPr="0031782C" w:rsidRDefault="00EA3526" w:rsidP="003107D6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показателя до конца 202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уменьшением численности населения. Планируется ежегодное списание ветхого и аварийного жилищного фонда в доп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устимых объемах (в зависимости от суммы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 денежных средств в бюджетах поселений).</w:t>
      </w:r>
    </w:p>
    <w:p w:rsidR="00EA3526" w:rsidRPr="0031782C" w:rsidRDefault="00EA3526" w:rsidP="003107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Показатель 25.1</w:t>
      </w:r>
      <w:r w:rsidR="003107D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земельных участков, предоставленных для строительства в расче</w:t>
      </w:r>
      <w:r w:rsidR="003107D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на 10 тыс. человек населения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07D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всего»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производственные объекты земельные участки не предоставлялись. Под ИЖС предоставлены участки в небольших количествах, поэтому 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на 10 тыс. человек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получается 0,000.</w:t>
      </w:r>
    </w:p>
    <w:p w:rsidR="003107D6" w:rsidRPr="0031782C" w:rsidRDefault="00EA3526" w:rsidP="003107D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27 «Доля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домами»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100%. </w:t>
      </w:r>
    </w:p>
    <w:p w:rsidR="00EA3526" w:rsidRPr="0031782C" w:rsidRDefault="00EA3526" w:rsidP="003107D6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статистической форме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22-ЖКХ «Сведения о структурных преобразованиях и организационных мероприятиях в сфере жилищно-коммунального хозяйства» собственники всех 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 выбрали один из способов управления.</w:t>
      </w:r>
    </w:p>
    <w:p w:rsidR="00EA3526" w:rsidRPr="0031782C" w:rsidRDefault="00EA3526" w:rsidP="003107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28</w:t>
      </w:r>
      <w:r w:rsidR="003107D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района)»,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100%. </w:t>
      </w:r>
    </w:p>
    <w:p w:rsidR="003107D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 организации: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Нагорские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системы», ООО</w:t>
      </w:r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ЖилКомСервис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Нагорская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МСО», </w:t>
      </w:r>
      <w:proofErr w:type="spellStart"/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Нагорское</w:t>
      </w:r>
      <w:proofErr w:type="spellEnd"/>
      <w:r w:rsidR="003107D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07D6" w:rsidRPr="0031782C" w:rsidRDefault="0031782C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=100%</m:t>
          </m:r>
        </m:oMath>
      </m:oMathPara>
    </w:p>
    <w:p w:rsidR="003107D6" w:rsidRPr="0031782C" w:rsidRDefault="00EA3526" w:rsidP="003107D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30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3107D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317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7D6" w:rsidRPr="00317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– 1,37% (в 2023 году – 1,27%). </w:t>
      </w:r>
    </w:p>
    <w:p w:rsidR="003107D6" w:rsidRPr="0031782C" w:rsidRDefault="003107D6" w:rsidP="003107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году стояло на учете в поселениях – 56 семей (145 человек). </w:t>
      </w:r>
    </w:p>
    <w:p w:rsidR="003107D6" w:rsidRPr="0031782C" w:rsidRDefault="003107D6" w:rsidP="003107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2C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Улучшили жилищные условия 1 семья (2 человека в Нагорском городском поселении).</w:t>
      </w:r>
    </w:p>
    <w:p w:rsidR="003107D6" w:rsidRPr="0031782C" w:rsidRDefault="0031782C" w:rsidP="003107D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145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=1,37%</m:t>
          </m:r>
        </m:oMath>
      </m:oMathPara>
    </w:p>
    <w:p w:rsidR="00373F87" w:rsidRPr="0031782C" w:rsidRDefault="00EA3526" w:rsidP="00373F8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Пояснение показателя 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</w:t>
      </w:r>
      <w:r w:rsidR="003107D6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73F87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3F87" w:rsidRPr="0031782C">
        <w:rPr>
          <w:rFonts w:ascii="Times New Roman" w:eastAsia="Times New Roman" w:hAnsi="Times New Roman" w:cs="Times New Roman"/>
          <w:sz w:val="26"/>
          <w:szCs w:val="26"/>
          <w:lang w:eastAsia="ru-RU"/>
        </w:rPr>
        <w:t>в 2024 году – 31,748%.</w:t>
      </w:r>
    </w:p>
    <w:p w:rsidR="0031782C" w:rsidRPr="0031782C" w:rsidRDefault="0031782C" w:rsidP="00373F8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385" w:type="dxa"/>
        <w:tblInd w:w="108" w:type="dxa"/>
        <w:tblLook w:val="04A0" w:firstRow="1" w:lastRow="0" w:firstColumn="1" w:lastColumn="0" w:noHBand="0" w:noVBand="1"/>
      </w:tblPr>
      <w:tblGrid>
        <w:gridCol w:w="5132"/>
        <w:gridCol w:w="1418"/>
        <w:gridCol w:w="1417"/>
        <w:gridCol w:w="1418"/>
      </w:tblGrid>
      <w:tr w:rsidR="0031782C" w:rsidRPr="0031782C" w:rsidTr="00373F87">
        <w:trPr>
          <w:trHeight w:val="340"/>
        </w:trPr>
        <w:tc>
          <w:tcPr>
            <w:tcW w:w="5132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2024 год</w:t>
            </w:r>
          </w:p>
        </w:tc>
      </w:tr>
      <w:tr w:rsidR="0031782C" w:rsidRPr="0031782C" w:rsidTr="00373F87">
        <w:tc>
          <w:tcPr>
            <w:tcW w:w="5132" w:type="dxa"/>
          </w:tcPr>
          <w:p w:rsidR="00373F87" w:rsidRPr="0031782C" w:rsidRDefault="00373F87" w:rsidP="00373F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 налоговых и неналоговых доходов, тыс. рублей</w:t>
            </w:r>
          </w:p>
        </w:tc>
        <w:tc>
          <w:tcPr>
            <w:tcW w:w="1418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102 207,9</w:t>
            </w:r>
          </w:p>
        </w:tc>
        <w:tc>
          <w:tcPr>
            <w:tcW w:w="1417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98 405,2</w:t>
            </w:r>
          </w:p>
        </w:tc>
        <w:tc>
          <w:tcPr>
            <w:tcW w:w="1418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113 134,3</w:t>
            </w:r>
          </w:p>
        </w:tc>
      </w:tr>
      <w:tr w:rsidR="0031782C" w:rsidRPr="0031782C" w:rsidTr="00373F87">
        <w:tc>
          <w:tcPr>
            <w:tcW w:w="5132" w:type="dxa"/>
          </w:tcPr>
          <w:p w:rsidR="00373F87" w:rsidRPr="0031782C" w:rsidRDefault="00373F87" w:rsidP="00373F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Общий объем доходов бюджета (без субвенции областного бюджета), тыс. рублей</w:t>
            </w:r>
          </w:p>
        </w:tc>
        <w:tc>
          <w:tcPr>
            <w:tcW w:w="1418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272 986,6</w:t>
            </w:r>
          </w:p>
        </w:tc>
        <w:tc>
          <w:tcPr>
            <w:tcW w:w="1417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292 191,7</w:t>
            </w:r>
          </w:p>
        </w:tc>
        <w:tc>
          <w:tcPr>
            <w:tcW w:w="1418" w:type="dxa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356 351,5</w:t>
            </w:r>
          </w:p>
        </w:tc>
      </w:tr>
      <w:tr w:rsidR="0031782C" w:rsidRPr="0031782C" w:rsidTr="00373F87">
        <w:tc>
          <w:tcPr>
            <w:tcW w:w="5132" w:type="dxa"/>
          </w:tcPr>
          <w:p w:rsidR="00373F87" w:rsidRPr="0031782C" w:rsidRDefault="00373F87" w:rsidP="00373F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образования, %</w:t>
            </w:r>
          </w:p>
        </w:tc>
        <w:tc>
          <w:tcPr>
            <w:tcW w:w="1418" w:type="dxa"/>
            <w:vAlign w:val="center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37,4</w:t>
            </w:r>
          </w:p>
        </w:tc>
        <w:tc>
          <w:tcPr>
            <w:tcW w:w="1417" w:type="dxa"/>
            <w:vAlign w:val="center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33,678</w:t>
            </w:r>
          </w:p>
        </w:tc>
        <w:tc>
          <w:tcPr>
            <w:tcW w:w="1418" w:type="dxa"/>
            <w:vAlign w:val="center"/>
          </w:tcPr>
          <w:p w:rsidR="00373F87" w:rsidRPr="0031782C" w:rsidRDefault="00373F87" w:rsidP="0037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78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31,748</w:t>
            </w:r>
          </w:p>
        </w:tc>
      </w:tr>
    </w:tbl>
    <w:p w:rsidR="00373F87" w:rsidRPr="0031782C" w:rsidRDefault="00EA3526" w:rsidP="00373F8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F87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ояснение показателя 35 «</w:t>
      </w: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</w:t>
      </w:r>
      <w:r w:rsidR="00373F87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73F87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– 6140,0 руб., за 2024 год – 6792,3 руб.</w:t>
      </w:r>
    </w:p>
    <w:p w:rsidR="00373F87" w:rsidRPr="0031782C" w:rsidRDefault="00373F87" w:rsidP="00373F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2024году по сравнению с прошлым годом показатель увеличился на 652,3 руб. и составил 6792,3 руб. на одного жителя. Причиной роста послужило: </w:t>
      </w:r>
    </w:p>
    <w:p w:rsidR="00373F87" w:rsidRPr="0031782C" w:rsidRDefault="00373F87" w:rsidP="00373F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01.01.2024 увеличение МРОТ с 16242,00 руб. до 19242,00 руб., или на 3000,00 руб.;</w:t>
      </w:r>
    </w:p>
    <w:p w:rsidR="00373F87" w:rsidRPr="0031782C" w:rsidRDefault="00373F87" w:rsidP="00373F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01.10.2024 рост заработной платы работников муниципальных учреждений на 10%.</w:t>
      </w:r>
    </w:p>
    <w:p w:rsidR="00373F87" w:rsidRPr="0031782C" w:rsidRDefault="00373F87" w:rsidP="00373F87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численности населения с 6,353 тыс. человек 2023 году до 6,126 тыс. человек 2024 году.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Показатель 39</w:t>
      </w:r>
      <w:r w:rsidR="00373F87"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 xml:space="preserve"> «</w:t>
      </w: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 xml:space="preserve">Удельная величина потребления энергетических ресурсов </w:t>
      </w:r>
      <w:r w:rsidR="00373F87"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в многоквартирных домах»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39.1. Эл</w:t>
      </w:r>
      <w:proofErr w:type="gram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73F87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нергия на одного проживающего 808,0</w:t>
      </w:r>
      <w:r w:rsidR="008F44A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3F87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 ч – (объем потребленной эл. энергии 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2680</w:t>
      </w:r>
      <w:r w:rsidR="008F44A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кВт,   количество проживающих в многоквартирных домах 331</w:t>
      </w:r>
      <w:r w:rsidR="008F44A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39.2. Тепловая энергия, на 1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общей площади 0,3</w:t>
      </w:r>
      <w:r w:rsidR="008F44A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3F87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 (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потребленной тепловой энергии  13</w:t>
      </w:r>
      <w:r w:rsidR="008F44A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Гкал, общая площадь  отапливаемых помещений 3569,3 м</w:t>
      </w:r>
      <w:proofErr w:type="gram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3526" w:rsidRPr="0031782C" w:rsidRDefault="00EA3526" w:rsidP="00373F87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39.4. Холодная во</w:t>
      </w:r>
      <w:r w:rsidR="00373F87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 1 </w:t>
      </w:r>
      <w:proofErr w:type="gramStart"/>
      <w:r w:rsidR="00373F87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="00373F87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</w:t>
      </w:r>
      <w:r w:rsidR="008F44A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3F87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 (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потребленной воды населением  9</w:t>
      </w:r>
      <w:r w:rsidR="008F44A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0928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м3,   количество проживающих  65</w:t>
      </w:r>
      <w:r w:rsidR="008F44AD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П</w:t>
      </w:r>
      <w:r w:rsidR="00373F87"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оказатель 40 «</w:t>
      </w: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Удельная величина потребления энергетических ресурсов муниципальными бюджетными учреждениями»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Эл.энергия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одного человека населения 121,2 кВт ч – ( объем потребленной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эл.энергии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771320 кВт,   количество проживающих  6353 чел.).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Тепловая энергия, на 1 кв. м общей площади 0,19 Гкал ( объем потребленной тепловой энергии  10480 Гкал, общая площадь  отапливаемых бюджетных помещений 53166 м2).</w:t>
      </w:r>
    </w:p>
    <w:p w:rsidR="00EA3526" w:rsidRPr="0031782C" w:rsidRDefault="00EA3526" w:rsidP="006E3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Холодная вода, на 1 человека населения 1,20 м3 ( объем потребленной воды бюджетными учреждениями  7940 м3,   количество проживающих  6590 чел.).</w:t>
      </w:r>
    </w:p>
    <w:p w:rsidR="00EA3526" w:rsidRPr="0031782C" w:rsidRDefault="00EA3526" w:rsidP="006E320A">
      <w:pPr>
        <w:suppressAutoHyphens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</w:t>
      </w:r>
      <w:r w:rsidR="006E320A"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ые задачи и направления работы </w:t>
      </w:r>
      <w:r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6E320A"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E320A" w:rsidRPr="0031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3526" w:rsidRPr="0031782C" w:rsidRDefault="006E320A" w:rsidP="006E320A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Реализация национальных </w:t>
      </w:r>
      <w:r w:rsidR="00EA3526"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проектов</w:t>
      </w: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.</w:t>
      </w:r>
    </w:p>
    <w:p w:rsidR="006E320A" w:rsidRPr="0031782C" w:rsidRDefault="006E320A" w:rsidP="006E32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lastRenderedPageBreak/>
        <w:t>Национальный проект «Семья», региональный проект «Семейные ценности и инфраструктура культуры»</w:t>
      </w:r>
      <w:r w:rsidR="00DF3004"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:</w:t>
      </w:r>
    </w:p>
    <w:p w:rsidR="006E320A" w:rsidRPr="0031782C" w:rsidRDefault="006E320A" w:rsidP="006E32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Достижение показателя «Уровень удовлетворенности граждан работой государственных и муниципальных организаций культуры, искусства и народного творчества» – 66,2%</w:t>
      </w:r>
    </w:p>
    <w:p w:rsidR="006E320A" w:rsidRPr="0031782C" w:rsidRDefault="006E320A" w:rsidP="006E32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Национальный проект «Экономика данных и цифровая трансформация государства», региональный проект «Цифровое государственное управление»</w:t>
      </w:r>
      <w:r w:rsidR="00DF3004" w:rsidRPr="0031782C">
        <w:rPr>
          <w:rFonts w:ascii="Times New Roman" w:eastAsia="A" w:hAnsi="Times New Roman" w:cs="Times New Roman"/>
          <w:b/>
          <w:sz w:val="28"/>
          <w:szCs w:val="28"/>
          <w:lang w:eastAsia="ru-RU"/>
        </w:rPr>
        <w:t>:</w:t>
      </w:r>
    </w:p>
    <w:p w:rsidR="006E320A" w:rsidRPr="0031782C" w:rsidRDefault="006E320A" w:rsidP="006E32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A" w:hAnsi="Times New Roman" w:cs="Times New Roman"/>
          <w:sz w:val="28"/>
          <w:szCs w:val="28"/>
          <w:lang w:eastAsia="ru-RU"/>
        </w:rPr>
        <w:t>Достижение уровня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 и (или) РПГУ в общем количестве обращений» – 51,0%.</w:t>
      </w:r>
    </w:p>
    <w:p w:rsidR="006E320A" w:rsidRPr="0031782C" w:rsidRDefault="006E320A" w:rsidP="006E3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«Молодежь и дети», региональный проект «Педагоги и наставники»</w:t>
      </w:r>
      <w:r w:rsidR="00DF3004"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320A" w:rsidRPr="0031782C" w:rsidRDefault="006E320A" w:rsidP="006E3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уровня показателя «Выплаты ежемесячного денежного вознаграждения советникам директоров по воспитанию и взаимодействию с детскими общественными объединениями» – 5 единиц (450,0 тыс. руб.).</w:t>
      </w:r>
    </w:p>
    <w:p w:rsidR="006E320A" w:rsidRPr="0031782C" w:rsidRDefault="006E320A" w:rsidP="006E3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уровня показателя «Выплаты денежного вознаграждения за классное руководство, предоставляемые педагогическим работникам образовательных организаций» – 39 ед. (7 007,4 тыс. руб.).</w:t>
      </w:r>
    </w:p>
    <w:p w:rsidR="006E320A" w:rsidRPr="0031782C" w:rsidRDefault="006E320A" w:rsidP="006E3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уровня показателя «В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объединениями» – 5 ед. (637,5 тыс. руб.).</w:t>
      </w:r>
    </w:p>
    <w:p w:rsidR="00DF3004" w:rsidRPr="0031782C" w:rsidRDefault="00DF3004" w:rsidP="00DF30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«Инфраструктура для жизни», региональный проект «Региональная и местная дорожная сеть»:</w:t>
      </w:r>
    </w:p>
    <w:p w:rsidR="00DF3004" w:rsidRPr="0031782C" w:rsidRDefault="00DF3004" w:rsidP="00DF30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Ремонт моста через реку Кобра на автодороге «Объездная» п. Нагорск км 5+450 в Нагорском районе. Муниципальный контракт заключен на сумму 89 522,8 тыс. руб., окончание работ – 30.09.2025.</w:t>
      </w:r>
    </w:p>
    <w:p w:rsidR="00DF3004" w:rsidRPr="0031782C" w:rsidRDefault="00DF3004" w:rsidP="00DF30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Капитальный ремонт моста через реку Белая на автодороге общего пользования местного значения Кобра – Орлецы, км 0+500 в Нагорском районе. Муниципальный контракт заключен на сумму 14 840,1 тыс. руб., окончание работ – 30.09.2025</w:t>
      </w:r>
    </w:p>
    <w:p w:rsidR="00DF3004" w:rsidRPr="0031782C" w:rsidRDefault="00DF3004" w:rsidP="00DF30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Капитальный ремонт моста через реку Федоровка на автодороге общего пользования местного значения Нагорск –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Бажелка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км 50+350 в Нагорском районе. Муниципальный контракт заключен на сумму 17 753,8 тыс. руб., окончание работ – 30.10.2025.</w:t>
      </w:r>
    </w:p>
    <w:p w:rsidR="00DF3004" w:rsidRPr="0031782C" w:rsidRDefault="00DF3004" w:rsidP="00DF30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«Инфраструктура для жизни», региональный проект «Формирование комфортной городской среды:</w:t>
      </w:r>
    </w:p>
    <w:p w:rsidR="00DF3004" w:rsidRPr="0031782C" w:rsidRDefault="00DF3004" w:rsidP="00DF30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благоустройству в рамках реализации муниципальной программы «Формирование современной городской среды на территории муниципального образования Нагорское городское поселение Нагорского района Кировской области» на 2025-2029 год». Муниципальный контракт заключен на сумму 3 030,3 тыс. руб., окончание работ – 15.09.2025.</w:t>
      </w:r>
    </w:p>
    <w:p w:rsidR="00EA3526" w:rsidRPr="0031782C" w:rsidRDefault="001902F4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3004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своени</w:t>
      </w:r>
      <w:r w:rsidR="00DF3004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расчетной лесосеки до 92% и полн</w:t>
      </w:r>
      <w:r w:rsidR="00DF3004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переработк</w:t>
      </w:r>
      <w:r w:rsidR="00DF3004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хвойного пиловочника н</w:t>
      </w:r>
      <w:r w:rsidR="00DF3004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территории Нагорского района.</w:t>
      </w:r>
    </w:p>
    <w:p w:rsidR="00EA3526" w:rsidRPr="0031782C" w:rsidRDefault="001902F4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3004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мероприятий по благоустройству территорий района.</w:t>
      </w:r>
    </w:p>
    <w:p w:rsidR="00EA3526" w:rsidRPr="0031782C" w:rsidRDefault="001902F4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3004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материально-технической базы в учреждениях образования и культуры.</w:t>
      </w:r>
    </w:p>
    <w:p w:rsidR="00EA3526" w:rsidRPr="0031782C" w:rsidRDefault="001902F4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3004" w:rsidRPr="003178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развития </w:t>
      </w:r>
      <w:proofErr w:type="spellStart"/>
      <w:r w:rsidR="00EA3526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="00DF3004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ротуризма</w:t>
      </w:r>
      <w:proofErr w:type="spellEnd"/>
      <w:r w:rsidR="00DF3004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Нагорском районе в 2025 году </w:t>
      </w:r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Туристический комплекс</w:t>
      </w:r>
      <w:r w:rsidR="00DF3004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«Марал» (</w:t>
      </w:r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Дударева</w:t>
      </w:r>
      <w:proofErr w:type="spellEnd"/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Л.Н.) планирует подготовить помещение для принятия «пантовых ванн» для гостей и туристов с проживанием.</w:t>
      </w:r>
    </w:p>
    <w:p w:rsidR="007C24E1" w:rsidRPr="0031782C" w:rsidRDefault="001902F4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ИП </w:t>
      </w:r>
      <w:proofErr w:type="spellStart"/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</w:t>
      </w:r>
      <w:proofErr w:type="spellEnd"/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в 2025 году планирует запустить цех по производству </w:t>
      </w:r>
      <w:proofErr w:type="spellStart"/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домокомплектов</w:t>
      </w:r>
      <w:proofErr w:type="spellEnd"/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профилированного клееного бруса, </w:t>
      </w:r>
      <w:proofErr w:type="spellStart"/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фахферков</w:t>
      </w:r>
      <w:proofErr w:type="spellEnd"/>
      <w:r w:rsidR="007C24E1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конструкционной клееной балки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направление позволит развивать ИЖС в том числе на территории Нагорского района (при наличии заказчиков).</w:t>
      </w:r>
    </w:p>
    <w:p w:rsidR="00AE4B7C" w:rsidRPr="0031782C" w:rsidRDefault="00AE4B7C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2024 году с «Сегежа Групп» заключено Соглашение об оказании финансовой помощи в рамках социального партнерства на 2 года (2025-2026 гг.) по ремонту объектов водоснабжения в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Нагорск (8 067,4 тыс. руб. в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6 607,7 тыс. руб. от «Сегежа Групп») и в с. </w:t>
      </w:r>
      <w:proofErr w:type="spellStart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Синегорье</w:t>
      </w:r>
      <w:proofErr w:type="spellEnd"/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(1 321</w:t>
      </w:r>
      <w:r w:rsidR="00385C8A"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руб. от «Сегежа Групп»)</w:t>
      </w: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26" w:rsidRPr="0031782C" w:rsidRDefault="00EA3526" w:rsidP="00DF3004">
      <w:pPr>
        <w:suppressAutoHyphens/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EA3526" w:rsidRPr="0031782C" w:rsidRDefault="00EA3526" w:rsidP="00DF30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отделом экономики и работы с малым</w:t>
      </w:r>
    </w:p>
    <w:p w:rsidR="00EA3526" w:rsidRPr="0031782C" w:rsidRDefault="00EA3526" w:rsidP="00DF3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бизнесом администрации Нагорского района</w:t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3004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Т.Н. </w:t>
      </w:r>
      <w:proofErr w:type="spellStart"/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Усатова</w:t>
      </w:r>
      <w:proofErr w:type="spellEnd"/>
    </w:p>
    <w:p w:rsidR="00EA3526" w:rsidRPr="0031782C" w:rsidRDefault="00EA3526" w:rsidP="00DF3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3526" w:rsidRPr="0031782C" w:rsidRDefault="00A81172" w:rsidP="00DF3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EA3526" w:rsidRPr="0031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2025 года</w:t>
      </w:r>
    </w:p>
    <w:p w:rsidR="00EA3526" w:rsidRPr="0031782C" w:rsidRDefault="00EA3526" w:rsidP="00EA3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922DA" w:rsidRPr="0031782C" w:rsidRDefault="003922DA"/>
    <w:sectPr w:rsidR="003922DA" w:rsidRPr="0031782C" w:rsidSect="00E05F74">
      <w:footerReference w:type="default" r:id="rId8"/>
      <w:pgSz w:w="11906" w:h="16838"/>
      <w:pgMar w:top="567" w:right="851" w:bottom="851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30" w:rsidRDefault="00641F40">
      <w:pPr>
        <w:spacing w:after="0" w:line="240" w:lineRule="auto"/>
      </w:pPr>
      <w:r>
        <w:separator/>
      </w:r>
    </w:p>
  </w:endnote>
  <w:endnote w:type="continuationSeparator" w:id="0">
    <w:p w:rsidR="00194D30" w:rsidRDefault="0064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A" w:rsidRDefault="001902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782C">
      <w:rPr>
        <w:noProof/>
      </w:rPr>
      <w:t>1</w:t>
    </w:r>
    <w:r>
      <w:fldChar w:fldCharType="end"/>
    </w:r>
  </w:p>
  <w:p w:rsidR="002B2CCA" w:rsidRDefault="003178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30" w:rsidRDefault="00641F40">
      <w:pPr>
        <w:spacing w:after="0" w:line="240" w:lineRule="auto"/>
      </w:pPr>
      <w:r>
        <w:separator/>
      </w:r>
    </w:p>
  </w:footnote>
  <w:footnote w:type="continuationSeparator" w:id="0">
    <w:p w:rsidR="00194D30" w:rsidRDefault="0064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C39"/>
    <w:multiLevelType w:val="hybridMultilevel"/>
    <w:tmpl w:val="805234CE"/>
    <w:lvl w:ilvl="0" w:tplc="91ACD9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6"/>
    <w:rsid w:val="000555F0"/>
    <w:rsid w:val="001902F4"/>
    <w:rsid w:val="00194D30"/>
    <w:rsid w:val="003107D6"/>
    <w:rsid w:val="0031782C"/>
    <w:rsid w:val="00373F87"/>
    <w:rsid w:val="00385C8A"/>
    <w:rsid w:val="003922DA"/>
    <w:rsid w:val="003C3F2C"/>
    <w:rsid w:val="003E1F68"/>
    <w:rsid w:val="004A29CD"/>
    <w:rsid w:val="004D7A52"/>
    <w:rsid w:val="00597E10"/>
    <w:rsid w:val="00641F40"/>
    <w:rsid w:val="006477AE"/>
    <w:rsid w:val="006E320A"/>
    <w:rsid w:val="006E7418"/>
    <w:rsid w:val="007C24E1"/>
    <w:rsid w:val="00832488"/>
    <w:rsid w:val="008D3482"/>
    <w:rsid w:val="008F44AD"/>
    <w:rsid w:val="009E2B52"/>
    <w:rsid w:val="00A81172"/>
    <w:rsid w:val="00A81E9E"/>
    <w:rsid w:val="00AB47AD"/>
    <w:rsid w:val="00AE4B7C"/>
    <w:rsid w:val="00B20D45"/>
    <w:rsid w:val="00B90118"/>
    <w:rsid w:val="00BD4071"/>
    <w:rsid w:val="00C04804"/>
    <w:rsid w:val="00C626F7"/>
    <w:rsid w:val="00CC32DF"/>
    <w:rsid w:val="00D12FB2"/>
    <w:rsid w:val="00DF3004"/>
    <w:rsid w:val="00EA3526"/>
    <w:rsid w:val="00EB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A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A3526"/>
  </w:style>
  <w:style w:type="character" w:styleId="a5">
    <w:name w:val="Placeholder Text"/>
    <w:basedOn w:val="a0"/>
    <w:uiPriority w:val="99"/>
    <w:semiHidden/>
    <w:rsid w:val="00EA3526"/>
    <w:rPr>
      <w:color w:val="808080"/>
    </w:rPr>
  </w:style>
  <w:style w:type="table" w:customStyle="1" w:styleId="1">
    <w:name w:val="Сетка таблицы1"/>
    <w:basedOn w:val="a1"/>
    <w:next w:val="a6"/>
    <w:uiPriority w:val="59"/>
    <w:rsid w:val="0037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7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32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A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A3526"/>
  </w:style>
  <w:style w:type="character" w:styleId="a5">
    <w:name w:val="Placeholder Text"/>
    <w:basedOn w:val="a0"/>
    <w:uiPriority w:val="99"/>
    <w:semiHidden/>
    <w:rsid w:val="00EA3526"/>
    <w:rPr>
      <w:color w:val="808080"/>
    </w:rPr>
  </w:style>
  <w:style w:type="table" w:customStyle="1" w:styleId="1">
    <w:name w:val="Сетка таблицы1"/>
    <w:basedOn w:val="a1"/>
    <w:next w:val="a6"/>
    <w:uiPriority w:val="59"/>
    <w:rsid w:val="0037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7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32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Nageconom</dc:creator>
  <cp:keywords/>
  <dc:description/>
  <cp:lastModifiedBy>user</cp:lastModifiedBy>
  <cp:revision>19</cp:revision>
  <cp:lastPrinted>2025-04-29T09:24:00Z</cp:lastPrinted>
  <dcterms:created xsi:type="dcterms:W3CDTF">2025-04-16T12:14:00Z</dcterms:created>
  <dcterms:modified xsi:type="dcterms:W3CDTF">2025-04-29T09:25:00Z</dcterms:modified>
</cp:coreProperties>
</file>